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8B" w:rsidRDefault="00E45E84">
      <w:pPr>
        <w:pStyle w:val="Standard"/>
        <w:tabs>
          <w:tab w:val="left" w:pos="5670"/>
        </w:tabs>
        <w:jc w:val="right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B4328B" w:rsidRDefault="00E45E84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Руководитель</w:t>
      </w:r>
    </w:p>
    <w:p w:rsidR="00B4328B" w:rsidRDefault="00E45E84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Чукотского УФАС России</w:t>
      </w:r>
    </w:p>
    <w:p w:rsidR="00B4328B" w:rsidRDefault="00E45E84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4328B" w:rsidRDefault="00E45E84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__________    Т.А. Омаев</w:t>
      </w:r>
    </w:p>
    <w:p w:rsidR="00B4328B" w:rsidRDefault="00B4328B">
      <w:pPr>
        <w:pStyle w:val="Standard"/>
        <w:tabs>
          <w:tab w:val="left" w:pos="5670"/>
        </w:tabs>
        <w:jc w:val="right"/>
        <w:rPr>
          <w:sz w:val="28"/>
          <w:szCs w:val="28"/>
        </w:rPr>
      </w:pPr>
    </w:p>
    <w:p w:rsidR="00B4328B" w:rsidRDefault="00E45E84">
      <w:pPr>
        <w:pStyle w:val="Standard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13 июня 2017 г.</w:t>
      </w:r>
    </w:p>
    <w:p w:rsidR="00B4328B" w:rsidRDefault="00B4328B">
      <w:pPr>
        <w:pStyle w:val="a9"/>
        <w:spacing w:before="0" w:after="0" w:line="288" w:lineRule="auto"/>
        <w:ind w:firstLine="709"/>
        <w:jc w:val="center"/>
        <w:rPr>
          <w:b/>
          <w:bCs/>
          <w:sz w:val="28"/>
          <w:szCs w:val="28"/>
        </w:rPr>
      </w:pPr>
    </w:p>
    <w:p w:rsidR="00B4328B" w:rsidRDefault="00E45E84">
      <w:pPr>
        <w:pStyle w:val="a9"/>
        <w:spacing w:before="0" w:after="0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Аналитический отчет по результатам анализа состояния конкуренции на розничных рынках дизельного топлива на </w:t>
      </w:r>
      <w:r>
        <w:rPr>
          <w:b/>
          <w:bCs/>
          <w:sz w:val="28"/>
          <w:szCs w:val="28"/>
        </w:rPr>
        <w:t>территории Чукотского автономного округа за 2016 год</w:t>
      </w:r>
    </w:p>
    <w:p w:rsidR="00B4328B" w:rsidRDefault="00E45E84">
      <w:pPr>
        <w:pStyle w:val="a9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4328B" w:rsidRDefault="00E45E84">
      <w:pPr>
        <w:pStyle w:val="a9"/>
        <w:spacing w:before="0" w:after="0" w:line="288" w:lineRule="auto"/>
        <w:ind w:firstLine="709"/>
        <w:jc w:val="both"/>
      </w:pPr>
      <w:r>
        <w:rPr>
          <w:sz w:val="28"/>
          <w:szCs w:val="28"/>
        </w:rPr>
        <w:t xml:space="preserve">Анализ состояния конкуренции на розничных рынках дизельного топлива на территории Чукотского автономного округа за 2016 год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Анализ) проведен в соответствии с Порядком проведения </w:t>
      </w:r>
      <w:r>
        <w:rPr>
          <w:sz w:val="28"/>
          <w:szCs w:val="28"/>
        </w:rPr>
        <w:t>анализа состояния конкуренции на товарном рынке, утвержденным Порядком проведения анализа состояния конкуренции на товарном рынке, утвержденным приказом ФАС России от 28.04.2010 № 220 «Об утверждении порядка проведения анализа состояния конкуренции на това</w:t>
      </w:r>
      <w:r>
        <w:rPr>
          <w:sz w:val="28"/>
          <w:szCs w:val="28"/>
        </w:rPr>
        <w:t>рном рынке» (далее — Порядок), во исполнение приказа ФАС России от 05.12.2016 № 1718/16 «О плане работы ФАС России по анализу состояния конкуренции на товарных рынках на 2017-2018 годы» (далее — Приказ ФАС России от 05.12.2016 № 1718/16).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анализа конкуренции на розничных рынках дизельного топлива является установление доминирующего положения хозяйствующих субъектов, осуществляющие деятельность по розничной торговле дизельным топливом.</w:t>
      </w:r>
    </w:p>
    <w:p w:rsidR="00B4328B" w:rsidRDefault="00E45E84">
      <w:pPr>
        <w:pStyle w:val="a9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Временной интервал исследования товарного рынка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хара</w:t>
      </w:r>
      <w:r>
        <w:rPr>
          <w:sz w:val="28"/>
          <w:szCs w:val="28"/>
        </w:rPr>
        <w:t>ктеристики товарного рынка определены согласно Приказу ФАС России от 05.12.2016 № 1718/16, в пределах одного установленного временного интервала 2016 год.</w:t>
      </w:r>
    </w:p>
    <w:p w:rsidR="00B4328B" w:rsidRDefault="00B4328B">
      <w:pPr>
        <w:pStyle w:val="a9"/>
        <w:spacing w:before="113" w:after="113" w:line="276" w:lineRule="auto"/>
        <w:ind w:firstLine="709"/>
        <w:jc w:val="center"/>
        <w:rPr>
          <w:b/>
          <w:bCs/>
          <w:sz w:val="28"/>
          <w:szCs w:val="28"/>
        </w:rPr>
      </w:pPr>
    </w:p>
    <w:p w:rsidR="00B4328B" w:rsidRDefault="00E45E84">
      <w:pPr>
        <w:pStyle w:val="a9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продуктовых границ рынка</w:t>
      </w:r>
    </w:p>
    <w:p w:rsidR="00B4328B" w:rsidRDefault="00E45E84">
      <w:pPr>
        <w:pStyle w:val="3"/>
        <w:spacing w:line="288" w:lineRule="auto"/>
        <w:ind w:firstLine="709"/>
      </w:pPr>
      <w:r>
        <w:t xml:space="preserve">В соответствии с пунктом 3.4. Порядка проведения анализа </w:t>
      </w:r>
      <w:r>
        <w:t>состояния конкуренции на товарном рынке, утвержденного приказом ФАС России от 28.04.2010 № 220, определение товара определены на основе:</w:t>
      </w:r>
    </w:p>
    <w:p w:rsidR="00B4328B" w:rsidRDefault="00E45E84">
      <w:pPr>
        <w:pStyle w:val="3"/>
        <w:numPr>
          <w:ilvl w:val="0"/>
          <w:numId w:val="36"/>
        </w:numPr>
        <w:spacing w:line="288" w:lineRule="auto"/>
        <w:ind w:left="0" w:firstLine="709"/>
      </w:pPr>
      <w:r>
        <w:t>условий договора, заключенного в отношении товара;</w:t>
      </w:r>
    </w:p>
    <w:p w:rsidR="00B4328B" w:rsidRDefault="00E45E84">
      <w:pPr>
        <w:pStyle w:val="3"/>
        <w:numPr>
          <w:ilvl w:val="0"/>
          <w:numId w:val="37"/>
        </w:numPr>
        <w:spacing w:line="288" w:lineRule="auto"/>
        <w:ind w:left="0" w:firstLine="709"/>
      </w:pPr>
      <w:r>
        <w:t>нормативных актов, регулирующих соответствующую деятельность;</w:t>
      </w:r>
    </w:p>
    <w:p w:rsidR="00B4328B" w:rsidRDefault="00E45E84">
      <w:pPr>
        <w:pStyle w:val="3"/>
        <w:numPr>
          <w:ilvl w:val="0"/>
          <w:numId w:val="38"/>
        </w:numPr>
        <w:spacing w:line="288" w:lineRule="auto"/>
        <w:ind w:left="0" w:firstLine="709"/>
      </w:pPr>
      <w:r>
        <w:t>общеро</w:t>
      </w:r>
      <w:r>
        <w:t>ссийских классификаторов продукции, работ, услуг, видов экономической деятельности.</w:t>
      </w:r>
    </w:p>
    <w:p w:rsidR="00B4328B" w:rsidRDefault="00E45E84">
      <w:pPr>
        <w:pStyle w:val="3"/>
        <w:spacing w:line="288" w:lineRule="auto"/>
        <w:ind w:firstLine="709"/>
      </w:pPr>
      <w:r>
        <w:t>Для целей настоящего исследования в соответствии с пунктом 3 Постановления Правительства РФ от 27.02.2008 № 118 «Об утверждении технического регламента «О требованиях к авт</w:t>
      </w:r>
      <w:r>
        <w:t>омобильному и авиационному бензину, дизельному и судовому топливу, топливу для реактивных двигателей и топочному мазуту» используются следующие термины:</w:t>
      </w:r>
    </w:p>
    <w:p w:rsidR="00B4328B" w:rsidRDefault="00E45E84">
      <w:pPr>
        <w:pStyle w:val="Standard"/>
        <w:spacing w:line="288" w:lineRule="auto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«бензин» - жидкое топливо для использования в двигателях с искровым зажиганием;</w:t>
      </w:r>
    </w:p>
    <w:p w:rsidR="00B4328B" w:rsidRDefault="00E45E84">
      <w:pPr>
        <w:pStyle w:val="Standard"/>
        <w:autoSpaceDE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«дизельное топливо» - ж</w:t>
      </w:r>
      <w:r>
        <w:rPr>
          <w:rFonts w:eastAsia="Arial" w:cs="Arial"/>
          <w:sz w:val="28"/>
          <w:szCs w:val="28"/>
        </w:rPr>
        <w:t>идкое топливо для использования в двигателях с воспламенением от сжатия;</w:t>
      </w:r>
    </w:p>
    <w:p w:rsidR="00B4328B" w:rsidRDefault="00E45E84">
      <w:pPr>
        <w:pStyle w:val="Standard"/>
        <w:autoSpaceDE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«марка продукции» - наименование, номерное или буквенное обозначение продукции, в том числе содержащее указание на октановое число автомобильного бензина;</w:t>
      </w:r>
    </w:p>
    <w:p w:rsidR="00B4328B" w:rsidRDefault="00E45E84">
      <w:pPr>
        <w:pStyle w:val="Standard"/>
        <w:autoSpaceDE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«нефтепродукт» - продукция, </w:t>
      </w:r>
      <w:r>
        <w:rPr>
          <w:rFonts w:eastAsia="Arial" w:cs="Arial"/>
          <w:sz w:val="28"/>
          <w:szCs w:val="28"/>
        </w:rPr>
        <w:t>полученная при переработке углеводородсодержащего сырья;</w:t>
      </w:r>
    </w:p>
    <w:p w:rsidR="00B4328B" w:rsidRDefault="00E45E84">
      <w:pPr>
        <w:pStyle w:val="Standard"/>
        <w:autoSpaceDE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«октановое число» - показатель, характеризующий детонационную стойкость бензина, выраженный в единицах эталонной шкалы;</w:t>
      </w:r>
    </w:p>
    <w:p w:rsidR="00B4328B" w:rsidRDefault="00E45E84">
      <w:pPr>
        <w:pStyle w:val="Standard"/>
        <w:autoSpaceDE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«топливо для реактивных двигателей» - жидкое топливо для использования в газоту</w:t>
      </w:r>
      <w:r>
        <w:rPr>
          <w:rFonts w:eastAsia="Arial" w:cs="Arial"/>
          <w:sz w:val="28"/>
          <w:szCs w:val="28"/>
        </w:rPr>
        <w:t>рбинных (воздушно-реактивных) двигателях;</w:t>
      </w:r>
    </w:p>
    <w:p w:rsidR="00B4328B" w:rsidRDefault="00E45E84">
      <w:pPr>
        <w:pStyle w:val="Standard"/>
        <w:autoSpaceDE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«цетановое число» - показатель, характеризующий воспламеняемость дизельного топлива, выраженный в единицах эталонной шкалы.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Общероссийскому классификатору видов экономической деятельности, принятому Постан</w:t>
      </w:r>
      <w:r>
        <w:rPr>
          <w:sz w:val="28"/>
          <w:szCs w:val="28"/>
        </w:rPr>
        <w:t>овлением Государственного комитета Российской Федерации по стандартизации и метрологии от 06.11.2001 № 454-ст, розничная торговля дизельным топливом классифицирована в группе 50.50 «Розничная торговля моторным топливом».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Дизельное топливо предназначено для</w:t>
      </w:r>
      <w:r>
        <w:rPr>
          <w:sz w:val="28"/>
          <w:szCs w:val="28"/>
        </w:rPr>
        <w:t xml:space="preserve"> двигателей внутреннего сгорания с воспламенением рабочей смеси от сжатия (дизелей). ГОСТ 305-2013. «Межгосударственный стандарт. Топливо дизельное. Технические условия», введен в действие Приказом Росстандарта от 22.11.2013 № 1871-ст определяют область пр</w:t>
      </w:r>
      <w:r>
        <w:rPr>
          <w:sz w:val="28"/>
          <w:szCs w:val="28"/>
        </w:rPr>
        <w:t>именения дизельного топлива как моторное топливо для дизельных и газотурбинных двигателей.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условий применения дизельного топлива ГОСТ 305-2013 устанавливает три марки дизельного топлива:</w:t>
      </w:r>
    </w:p>
    <w:p w:rsidR="00B4328B" w:rsidRDefault="00E45E84">
      <w:pPr>
        <w:pStyle w:val="Textbody"/>
        <w:numPr>
          <w:ilvl w:val="0"/>
          <w:numId w:val="39"/>
        </w:numPr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 (летнее) — рекомендуемое для эксплуатации при темп</w:t>
      </w:r>
      <w:r>
        <w:rPr>
          <w:sz w:val="28"/>
          <w:szCs w:val="28"/>
        </w:rPr>
        <w:t>ературе окружающего воздуха 0°С и выше;</w:t>
      </w:r>
    </w:p>
    <w:p w:rsidR="00B4328B" w:rsidRDefault="00E45E84">
      <w:pPr>
        <w:pStyle w:val="Textbody"/>
        <w:numPr>
          <w:ilvl w:val="0"/>
          <w:numId w:val="39"/>
        </w:numPr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 (зимнее) — рекомендуемое для эксплуатации при температуре окружающего воздуха минут 20°С и выше (температура застывания топлива не выше минус 35°С) и минут 30°С и выше (температура застывания топлива не выше минут </w:t>
      </w:r>
      <w:r>
        <w:rPr>
          <w:sz w:val="28"/>
          <w:szCs w:val="28"/>
        </w:rPr>
        <w:t>45°С);</w:t>
      </w:r>
    </w:p>
    <w:p w:rsidR="00B4328B" w:rsidRDefault="00E45E84">
      <w:pPr>
        <w:pStyle w:val="Textbody"/>
        <w:numPr>
          <w:ilvl w:val="0"/>
          <w:numId w:val="39"/>
        </w:numPr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 (арктическое) — рекомендуемое для эксплуатации при температуре окружающего воздуха минут 50°С и выше.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перечисленные марки дизельного топлива имеют одно функциональное назначение (топливо для быстроходных дизельных и газотурбинных двигателей), </w:t>
      </w:r>
      <w:r>
        <w:rPr>
          <w:sz w:val="28"/>
          <w:szCs w:val="28"/>
        </w:rPr>
        <w:t xml:space="preserve">при переходе с марки на марку двигатели не требуют конструктивных изменений. Все указанные марки дизельного топлива имеют одинаковые требования к упаковке, маркировке, хранению и транспортировке (ГОСТ 1510-84. «Нефть и нефтепродукты. Маркировка, упаковка, </w:t>
      </w:r>
      <w:r>
        <w:rPr>
          <w:sz w:val="28"/>
          <w:szCs w:val="28"/>
        </w:rPr>
        <w:t>транспортирование и хранение»).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топлива, а климатическими условиями потребления (температурой окружающей ср</w:t>
      </w:r>
      <w:r>
        <w:rPr>
          <w:sz w:val="28"/>
          <w:szCs w:val="28"/>
        </w:rPr>
        <w:t>еды, сезонностью), едиными для всех потребителей. Состав продавцов и покупателей при этом также остается неизменным.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дизельное топливо, реализуемое в качестве моторного топлива для автомобильных дизельных двигателей, независимо от единых для</w:t>
      </w:r>
      <w:r>
        <w:rPr>
          <w:sz w:val="28"/>
          <w:szCs w:val="28"/>
        </w:rPr>
        <w:t xml:space="preserve"> всех потребителей и продавцов изменений условий потребления представляет собой один товар.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в целях исключения взаимозаменяемости дизельного и газового топлива следует отметить, что для работы автомобиля на сжиженном газе необходима специальная газоб</w:t>
      </w:r>
      <w:r>
        <w:rPr>
          <w:sz w:val="28"/>
          <w:szCs w:val="28"/>
        </w:rPr>
        <w:t xml:space="preserve">аллонная установка. К существенным недостаткам газобаллонных автомобилей можно отнести уменьшение грузоподъемности автомобиля и повышение его </w:t>
      </w:r>
      <w:r>
        <w:rPr>
          <w:sz w:val="28"/>
          <w:szCs w:val="28"/>
        </w:rPr>
        <w:lastRenderedPageBreak/>
        <w:t>пожароопасности. Нельзя не учитывать тот факт, что расположение газовых заправочных станций носит локализованный х</w:t>
      </w:r>
      <w:r>
        <w:rPr>
          <w:sz w:val="28"/>
          <w:szCs w:val="28"/>
        </w:rPr>
        <w:t>арактер и на территории Чукотского автономного округа отсутствует возможность заправки данным видом топлива.</w:t>
      </w:r>
    </w:p>
    <w:p w:rsidR="00B4328B" w:rsidRDefault="00E45E84">
      <w:pPr>
        <w:pStyle w:val="Textbody"/>
        <w:spacing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географических границ рынка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географических границ товарного рынка оценивалась экономическая возможность приобретения ди</w:t>
      </w:r>
      <w:r>
        <w:rPr>
          <w:sz w:val="28"/>
          <w:szCs w:val="28"/>
        </w:rPr>
        <w:t>зельного топлива потребителем.</w:t>
      </w:r>
    </w:p>
    <w:p w:rsidR="00B4328B" w:rsidRDefault="00E45E84">
      <w:pPr>
        <w:pStyle w:val="a9"/>
        <w:spacing w:before="0" w:after="0" w:line="300" w:lineRule="auto"/>
        <w:ind w:firstLine="709"/>
        <w:jc w:val="right"/>
        <w:rPr>
          <w:i/>
          <w:iCs/>
        </w:rPr>
      </w:pPr>
      <w:r>
        <w:rPr>
          <w:i/>
          <w:iCs/>
        </w:rPr>
        <w:t>Таблица №1. Муниципальные районы и населенные пункты Чукотского автономного округа</w:t>
      </w:r>
    </w:p>
    <w:tbl>
      <w:tblPr>
        <w:tblW w:w="1456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485"/>
        <w:gridCol w:w="3780"/>
        <w:gridCol w:w="8864"/>
      </w:tblGrid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и сельские поселения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Анадырь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Анадырь, </w:t>
            </w:r>
            <w:r>
              <w:rPr>
                <w:sz w:val="24"/>
                <w:szCs w:val="24"/>
              </w:rPr>
              <w:t>сельское поселение Тавайваам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поселение: Угольные Копи, Беринговский, сельское поселение: Канчалан, Ваеги, Ламутское, Марково, Снежное, Усть-Белая, Чуванское, Алькатваам, Мейныпильгыно,Хатырка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Билибинский </w:t>
            </w: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поселение: Билибино, сельское поселение: Анюйск, Илирней, Омолон, Островное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Певек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поселение: Певек, сельское поселение: Рыткучи, Айон, Биллингс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Провидения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поселение: </w:t>
            </w:r>
            <w:r>
              <w:rPr>
                <w:sz w:val="24"/>
                <w:szCs w:val="24"/>
              </w:rPr>
              <w:t>пгт Провидения, сельское поселение: Новое Чаплино, Нунлигран, Сиреники, Энмелен, Янракыннот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 муниципальный район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поселение: Инчоун, Лаврентия, Лорино, Нешкан, Уэлен, Энурмино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Эгвекинот</w:t>
            </w:r>
          </w:p>
        </w:tc>
        <w:tc>
          <w:tcPr>
            <w:tcW w:w="8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поселение: пгт </w:t>
            </w:r>
            <w:r>
              <w:rPr>
                <w:sz w:val="24"/>
                <w:szCs w:val="24"/>
              </w:rPr>
              <w:t>Эгвекинот, Мыс Шмидта, сельское поселение: Амгуэма, Ванкарем, Конергино, Нутэпэльмен, Рыркайпий, Уэлькаль</w:t>
            </w:r>
          </w:p>
        </w:tc>
      </w:tr>
    </w:tbl>
    <w:p w:rsidR="00B4328B" w:rsidRDefault="00E45E84">
      <w:pPr>
        <w:pStyle w:val="TableContents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территориальной фиксированности автозаправочных станций (далее — АЗС), основными ограничениями экономической возможности приобретения ди</w:t>
      </w:r>
      <w:r>
        <w:rPr>
          <w:sz w:val="28"/>
          <w:szCs w:val="28"/>
        </w:rPr>
        <w:t>зельного топлива потребителем являются расположение АЗС, расстояние АЗС, маршрут следования до АЗС и транспортные расходы, связанные с поиском и приобретением дизельного топлива.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анализа географическими границами данного рынка приняты геог</w:t>
      </w:r>
      <w:r>
        <w:rPr>
          <w:sz w:val="28"/>
          <w:szCs w:val="28"/>
        </w:rPr>
        <w:t xml:space="preserve">рафические границы Чукотского автономного округа.  </w:t>
      </w:r>
    </w:p>
    <w:p w:rsidR="00B4328B" w:rsidRDefault="00B4328B">
      <w:pPr>
        <w:pStyle w:val="a9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</w:p>
    <w:p w:rsidR="00B4328B" w:rsidRDefault="00B4328B">
      <w:pPr>
        <w:pStyle w:val="a9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</w:p>
    <w:p w:rsidR="00B4328B" w:rsidRDefault="00E45E84">
      <w:pPr>
        <w:pStyle w:val="a9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состава хозяйствующих субъектов, действующих на рынке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Продавцами на розничных рынках дизельного топлива являются хозяйствующие субъекты, осуществляющие деятельность по розничной торговле </w:t>
      </w:r>
      <w:r>
        <w:rPr>
          <w:sz w:val="28"/>
          <w:szCs w:val="28"/>
        </w:rPr>
        <w:t>дизельным топливом на АЗС единичным количеством товара (дизельным топливом) преимущественно для личного использования.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на розничных рынках дизельного топлива являются  физические и юридические лица, приобретающие дизельное топливо единичного к</w:t>
      </w:r>
      <w:r>
        <w:rPr>
          <w:sz w:val="28"/>
          <w:szCs w:val="28"/>
        </w:rPr>
        <w:t>оличества преимущественно для личного использования.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проанализированы данные хозяйствующие субъекты на принадлежность к группе лиц по признакам указанных в статье 9 Закона о защите конкуренции.</w:t>
      </w:r>
    </w:p>
    <w:p w:rsidR="00B4328B" w:rsidRDefault="00E45E84">
      <w:pPr>
        <w:pStyle w:val="Textbody"/>
        <w:jc w:val="right"/>
        <w:rPr>
          <w:i/>
          <w:szCs w:val="24"/>
        </w:rPr>
      </w:pPr>
      <w:r>
        <w:rPr>
          <w:i/>
          <w:szCs w:val="24"/>
        </w:rPr>
        <w:t>Таблица № 2. Перечень хозяйствующих субъектов,осуще</w:t>
      </w:r>
      <w:r>
        <w:rPr>
          <w:i/>
          <w:szCs w:val="24"/>
        </w:rPr>
        <w:t>ствляющие</w:t>
      </w:r>
    </w:p>
    <w:p w:rsidR="00B4328B" w:rsidRDefault="00E45E84">
      <w:pPr>
        <w:pStyle w:val="Textbody"/>
        <w:jc w:val="right"/>
        <w:rPr>
          <w:i/>
          <w:szCs w:val="24"/>
        </w:rPr>
      </w:pPr>
      <w:r>
        <w:rPr>
          <w:i/>
          <w:szCs w:val="24"/>
        </w:rPr>
        <w:t>деятельность по розничной торговле дизельного топлива</w:t>
      </w:r>
    </w:p>
    <w:tbl>
      <w:tblPr>
        <w:tblW w:w="1452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132"/>
        <w:gridCol w:w="3285"/>
        <w:gridCol w:w="5535"/>
      </w:tblGrid>
      <w:tr w:rsidR="00B4328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 № п/п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Полное наименование (организационно-правовая форма)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Юридический адрес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Принадлежность к группе лиц (независимый)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3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4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Непубличное акционерное общество «Чукотская торговая </w:t>
            </w:r>
            <w:r>
              <w:t>компания» (</w:t>
            </w:r>
            <w:r>
              <w:rPr>
                <w:rFonts w:ascii="TimesNewRomanPSMT" w:eastAsia="TimesNewRomanPSMT" w:hAnsi="TimesNewRomanPSMT" w:cs="TimesNewRomanPSMT"/>
              </w:rPr>
              <w:t>ИНН/КПП 8704000668/870401001, ОГРН 1028700589807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689202, Чукотский АО, пгт. Эгвекинот, ул. Ленина, д. 12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НАО «Иультинторг» (ИНН </w:t>
            </w:r>
            <w:r>
              <w:rPr>
                <w:rFonts w:ascii="TimesNewRomanPSMT" w:eastAsia="TimesNewRomanPSMT" w:hAnsi="TimesNewRomanPSMT" w:cs="TimesNewRomanPSMT"/>
              </w:rPr>
              <w:t>8704000280</w:t>
            </w:r>
            <w:r>
              <w:t>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ООО «Альбатрос» (ИНН </w:t>
            </w:r>
            <w:r>
              <w:rPr>
                <w:rFonts w:ascii="TimesNewRomanPSMT" w:eastAsia="TimesNewRomanPSMT" w:hAnsi="TimesNewRomanPSMT" w:cs="TimesNewRomanPSMT"/>
              </w:rPr>
              <w:t>8704000040</w:t>
            </w:r>
            <w:r>
              <w:t>)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2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Standard"/>
              <w:jc w:val="center"/>
            </w:pPr>
            <w:r>
              <w:rPr>
                <w:sz w:val="24"/>
                <w:szCs w:val="24"/>
              </w:rPr>
              <w:t xml:space="preserve">Государственное предприятие Чукотского автономного округа </w:t>
            </w:r>
            <w:r>
              <w:rPr>
                <w:sz w:val="24"/>
                <w:szCs w:val="24"/>
              </w:rPr>
              <w:t>«Чукотснаб» (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ИНН/КПП 8709008156/870901001, ОГРН 1028700587035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689000, Чукотский АО, г. Анадырь, ул. Южная, д. 4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ООО «ЧУКОТАЭРОСБЫТ» (ИНН 8709014664 )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>ООО «ЧУКОТКА-ЛИЗИНГ» (ИНН 8709014738 )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>ООО «Сибнефть-Чукотка» (ИНН 8700000346 )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ОАО «Шахта «Нагорная» </w:t>
            </w:r>
            <w:r>
              <w:t>(ИНН 8702001419)</w:t>
            </w:r>
          </w:p>
        </w:tc>
      </w:tr>
    </w:tbl>
    <w:p w:rsidR="00B4328B" w:rsidRDefault="00B4328B">
      <w:pPr>
        <w:pStyle w:val="a9"/>
        <w:spacing w:before="0" w:after="0" w:line="300" w:lineRule="auto"/>
        <w:ind w:firstLine="709"/>
        <w:jc w:val="both"/>
      </w:pPr>
    </w:p>
    <w:p w:rsidR="00B4328B" w:rsidRDefault="00E45E84">
      <w:pPr>
        <w:pStyle w:val="a9"/>
        <w:spacing w:before="0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товарного рынка и доли хозяйствующих субъектов на товарном рынке</w:t>
      </w:r>
    </w:p>
    <w:p w:rsidR="00B4328B" w:rsidRDefault="00E45E84">
      <w:pPr>
        <w:pStyle w:val="Standard"/>
        <w:spacing w:line="288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Основным показателем для расчета объема товарного рынка и долей хозяйствующих субъектов за исследуемый период времени в продуктовых и географических границах </w:t>
      </w:r>
      <w:r>
        <w:rPr>
          <w:color w:val="00000A"/>
          <w:sz w:val="28"/>
          <w:szCs w:val="28"/>
        </w:rPr>
        <w:t>розничного рынка дизельного топлива Чукотского автономного округа и долей хозяйствующих субъектов на рынке является показатель объема продаж (поставок) в натуральном выражении (литр).</w:t>
      </w:r>
    </w:p>
    <w:p w:rsidR="00B4328B" w:rsidRDefault="00E45E84">
      <w:pPr>
        <w:pStyle w:val="Standard"/>
        <w:spacing w:line="288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Коэффициент расчета дизельного топлива из тонн в литры равен 0,843.</w:t>
      </w:r>
    </w:p>
    <w:p w:rsidR="00B4328B" w:rsidRDefault="00B4328B">
      <w:pPr>
        <w:pStyle w:val="Standard"/>
        <w:spacing w:line="360" w:lineRule="auto"/>
        <w:ind w:firstLine="709"/>
        <w:jc w:val="right"/>
        <w:rPr>
          <w:i/>
          <w:iCs/>
          <w:color w:val="00000A"/>
          <w:sz w:val="24"/>
          <w:szCs w:val="24"/>
        </w:rPr>
      </w:pPr>
    </w:p>
    <w:p w:rsidR="00B4328B" w:rsidRDefault="00B4328B">
      <w:pPr>
        <w:pStyle w:val="Standard"/>
        <w:spacing w:line="360" w:lineRule="auto"/>
        <w:ind w:firstLine="709"/>
        <w:jc w:val="right"/>
        <w:rPr>
          <w:i/>
          <w:iCs/>
          <w:color w:val="00000A"/>
          <w:sz w:val="24"/>
          <w:szCs w:val="24"/>
        </w:rPr>
      </w:pPr>
    </w:p>
    <w:p w:rsidR="00B4328B" w:rsidRDefault="00B4328B">
      <w:pPr>
        <w:pStyle w:val="Standard"/>
        <w:spacing w:line="360" w:lineRule="auto"/>
        <w:ind w:firstLine="709"/>
        <w:jc w:val="right"/>
        <w:rPr>
          <w:i/>
          <w:iCs/>
          <w:color w:val="00000A"/>
          <w:sz w:val="24"/>
          <w:szCs w:val="24"/>
        </w:rPr>
      </w:pPr>
    </w:p>
    <w:p w:rsidR="00B4328B" w:rsidRDefault="00E45E84">
      <w:pPr>
        <w:pStyle w:val="Standard"/>
        <w:spacing w:line="360" w:lineRule="auto"/>
        <w:ind w:firstLine="709"/>
        <w:jc w:val="right"/>
        <w:rPr>
          <w:i/>
          <w:iCs/>
          <w:color w:val="00000A"/>
          <w:sz w:val="24"/>
          <w:szCs w:val="24"/>
        </w:rPr>
      </w:pPr>
      <w:r>
        <w:rPr>
          <w:i/>
          <w:iCs/>
          <w:color w:val="00000A"/>
          <w:sz w:val="24"/>
          <w:szCs w:val="24"/>
        </w:rPr>
        <w:t>Т</w:t>
      </w:r>
      <w:r>
        <w:rPr>
          <w:i/>
          <w:iCs/>
          <w:color w:val="00000A"/>
          <w:sz w:val="24"/>
          <w:szCs w:val="24"/>
        </w:rPr>
        <w:t>аблица 3. Доля на розничном рынке дизельного топлива</w:t>
      </w:r>
    </w:p>
    <w:tbl>
      <w:tblPr>
        <w:tblW w:w="14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2493"/>
        <w:gridCol w:w="3316"/>
        <w:gridCol w:w="4619"/>
        <w:gridCol w:w="1140"/>
        <w:gridCol w:w="1230"/>
        <w:gridCol w:w="1366"/>
      </w:tblGrid>
      <w:tr w:rsidR="00B4328B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границы розничного рынка дизельного топлива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субъекта, осуществляющего деятельность по розничной торговле моторным топливом</w:t>
            </w:r>
          </w:p>
        </w:tc>
        <w:tc>
          <w:tcPr>
            <w:tcW w:w="4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группе лиц (не</w:t>
            </w:r>
            <w:r>
              <w:rPr>
                <w:sz w:val="24"/>
                <w:szCs w:val="24"/>
              </w:rPr>
              <w:t>зависимый)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АЗС, шт.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3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4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/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(литр)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 розничном рынке дизельного топлива, %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Чукотский район, Провиденский район, Иультинский район Чукотского автономного округа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Непубличное акционерное общество «Чукотская</w:t>
            </w:r>
            <w:r>
              <w:t xml:space="preserve"> торговая компания» (</w:t>
            </w:r>
            <w:r>
              <w:rPr>
                <w:rFonts w:ascii="TimesNewRomanPSMT" w:eastAsia="TimesNewRomanPSMT" w:hAnsi="TimesNewRomanPSMT" w:cs="TimesNewRomanPSMT"/>
              </w:rPr>
              <w:t>ИНН/КПП 8704000668/870401001, ОГРН 1028700589807</w:t>
            </w:r>
            <w:r>
              <w:t>)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НАО «Иультинторг» (ИНН </w:t>
            </w:r>
            <w:r>
              <w:rPr>
                <w:rFonts w:ascii="TimesNewRomanPSMT" w:eastAsia="TimesNewRomanPSMT" w:hAnsi="TimesNewRomanPSMT" w:cs="TimesNewRomanPSMT"/>
              </w:rPr>
              <w:t>8704000280</w:t>
            </w:r>
            <w:r>
              <w:t>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 xml:space="preserve">ООО «Альбатрос» (ИНН </w:t>
            </w:r>
            <w:r>
              <w:rPr>
                <w:rFonts w:ascii="TimesNewRomanPSMT" w:eastAsia="TimesNewRomanPSMT" w:hAnsi="TimesNewRomanPSMT" w:cs="TimesNewRomanPSMT"/>
              </w:rPr>
              <w:t>8704000040</w:t>
            </w:r>
            <w:r>
              <w:t>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44,01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Анадырь, Анадырский район, Билибинский район, Чаунский район Чукотского автономного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Standard"/>
              <w:jc w:val="center"/>
            </w:pPr>
            <w:r>
              <w:rPr>
                <w:sz w:val="24"/>
                <w:szCs w:val="24"/>
              </w:rPr>
              <w:t>Государственное предприятие Чукотского автономного округа «Чукотснаб» (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ИНН/КПП 8709008156/870901001, ОГРН 1028700587035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ООО «ЧУКОТАЭРОСБЫТ» (ИНН 8709014664 )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>ООО «ЧУКОТКА-ЛИЗИНГ» (ИНН 8709014738 )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>ООО «Сибнефть-Чукотка» (ИНН 8700000346 )</w:t>
            </w:r>
          </w:p>
          <w:p w:rsidR="00B4328B" w:rsidRDefault="00E45E84">
            <w:pPr>
              <w:pStyle w:val="a9"/>
              <w:spacing w:before="0" w:after="0"/>
              <w:jc w:val="center"/>
            </w:pPr>
            <w:r>
              <w:t>ОАО «Шахта</w:t>
            </w:r>
            <w:r>
              <w:t xml:space="preserve"> «Нагорная» (ИНН 8702001419)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504,29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B4328B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548,3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8B" w:rsidRDefault="00E45E8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4328B" w:rsidRDefault="00E45E84">
      <w:pPr>
        <w:pStyle w:val="Textbody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4328B" w:rsidRDefault="00E45E84">
      <w:pPr>
        <w:pStyle w:val="Textbody"/>
        <w:spacing w:line="288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натуральном выражении объем розничного рынка дизельного топлива за 2016 год составил 548,3 литра.</w:t>
      </w:r>
    </w:p>
    <w:p w:rsidR="00B4328B" w:rsidRDefault="00E45E84">
      <w:pPr>
        <w:pStyle w:val="Textbody"/>
        <w:spacing w:line="288" w:lineRule="auto"/>
        <w:ind w:firstLine="709"/>
      </w:pPr>
      <w:r>
        <w:rPr>
          <w:color w:val="000000"/>
          <w:sz w:val="28"/>
          <w:szCs w:val="28"/>
        </w:rPr>
        <w:t>По полученны</w:t>
      </w:r>
      <w:r>
        <w:rPr>
          <w:sz w:val="28"/>
          <w:szCs w:val="28"/>
        </w:rPr>
        <w:t xml:space="preserve">м результатам можно сделать вывод о том, что на данном товарном </w:t>
      </w:r>
      <w:r>
        <w:rPr>
          <w:sz w:val="28"/>
          <w:szCs w:val="28"/>
        </w:rPr>
        <w:t xml:space="preserve">рынке на территории Чукотского автономного округа действуют 2 (два) хозяйствующих субъекта, осуществляющих розничную торговлю дизельного топлива. </w:t>
      </w:r>
      <w:r>
        <w:rPr>
          <w:color w:val="00000A"/>
          <w:sz w:val="28"/>
          <w:szCs w:val="28"/>
        </w:rPr>
        <w:t xml:space="preserve">Деятельность хозяйствующих субъектов, осуществляющие розничную торговлю дизельным топливом, относится </w:t>
      </w:r>
      <w:r>
        <w:rPr>
          <w:color w:val="00000A"/>
          <w:sz w:val="28"/>
          <w:szCs w:val="28"/>
        </w:rPr>
        <w:lastRenderedPageBreak/>
        <w:t>к неконк</w:t>
      </w:r>
      <w:r>
        <w:rPr>
          <w:color w:val="00000A"/>
          <w:sz w:val="28"/>
          <w:szCs w:val="28"/>
        </w:rPr>
        <w:t>урентной сфере, так как действуют в разных муниципальных районах Чукотского автономного округа. Доля хозяйствующего субъекта на данном товарном рынке на каждой конкретной территории всегда будет 100%.</w:t>
      </w:r>
    </w:p>
    <w:p w:rsidR="00B4328B" w:rsidRDefault="00B4328B">
      <w:pPr>
        <w:pStyle w:val="Textbody"/>
        <w:spacing w:after="113" w:line="288" w:lineRule="auto"/>
        <w:ind w:firstLine="709"/>
        <w:jc w:val="center"/>
        <w:rPr>
          <w:b/>
          <w:bCs/>
          <w:sz w:val="28"/>
          <w:szCs w:val="28"/>
        </w:rPr>
      </w:pPr>
    </w:p>
    <w:p w:rsidR="00B4328B" w:rsidRDefault="00B4328B">
      <w:pPr>
        <w:pStyle w:val="Textbody"/>
        <w:spacing w:after="113" w:line="288" w:lineRule="auto"/>
        <w:ind w:firstLine="709"/>
        <w:jc w:val="center"/>
        <w:rPr>
          <w:b/>
          <w:bCs/>
          <w:sz w:val="28"/>
          <w:szCs w:val="28"/>
        </w:rPr>
      </w:pPr>
    </w:p>
    <w:p w:rsidR="00B4328B" w:rsidRDefault="00E45E84">
      <w:pPr>
        <w:pStyle w:val="Textbody"/>
        <w:spacing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барьеров входа на рынок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барьерам входа </w:t>
      </w:r>
      <w:r>
        <w:rPr>
          <w:sz w:val="28"/>
          <w:szCs w:val="28"/>
        </w:rPr>
        <w:t>на мелкооптовый рынок дизельного топлива следует отнести, в том числе:</w:t>
      </w:r>
    </w:p>
    <w:p w:rsidR="00B4328B" w:rsidRDefault="00E45E84">
      <w:pPr>
        <w:pStyle w:val="Textbody"/>
        <w:numPr>
          <w:ilvl w:val="0"/>
          <w:numId w:val="40"/>
        </w:numPr>
        <w:spacing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B4328B" w:rsidRDefault="00E45E84">
      <w:pPr>
        <w:pStyle w:val="Standard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ограничения:</w:t>
      </w:r>
    </w:p>
    <w:p w:rsidR="00B4328B" w:rsidRDefault="00E45E84">
      <w:pPr>
        <w:pStyle w:val="Standard"/>
        <w:numPr>
          <w:ilvl w:val="0"/>
          <w:numId w:val="4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издержки выхода с рынка, включаю</w:t>
      </w:r>
      <w:r>
        <w:rPr>
          <w:sz w:val="28"/>
          <w:szCs w:val="28"/>
        </w:rPr>
        <w:t>щие инвестиции, которые невозможно возместить при прекращении хозяйственной деятельности;</w:t>
      </w:r>
    </w:p>
    <w:p w:rsidR="00B4328B" w:rsidRDefault="00E45E84">
      <w:pPr>
        <w:pStyle w:val="Standard"/>
        <w:numPr>
          <w:ilvl w:val="0"/>
          <w:numId w:val="4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ограничения.</w:t>
      </w:r>
    </w:p>
    <w:p w:rsidR="00B4328B" w:rsidRDefault="00E45E84">
      <w:pPr>
        <w:pStyle w:val="Standard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ограничения:</w:t>
      </w:r>
    </w:p>
    <w:p w:rsidR="00B4328B" w:rsidRDefault="00E45E84">
      <w:pPr>
        <w:pStyle w:val="Standard"/>
        <w:numPr>
          <w:ilvl w:val="0"/>
          <w:numId w:val="4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лицензирования;</w:t>
      </w:r>
    </w:p>
    <w:p w:rsidR="00B4328B" w:rsidRDefault="00E45E84">
      <w:pPr>
        <w:pStyle w:val="Standard"/>
        <w:numPr>
          <w:ilvl w:val="0"/>
          <w:numId w:val="4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ограничения;</w:t>
      </w:r>
    </w:p>
    <w:p w:rsidR="00B4328B" w:rsidRDefault="00E45E84">
      <w:pPr>
        <w:pStyle w:val="Standard"/>
        <w:numPr>
          <w:ilvl w:val="0"/>
          <w:numId w:val="4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стандарты и предъявляемые к качеству.</w:t>
      </w:r>
    </w:p>
    <w:p w:rsidR="00B4328B" w:rsidRDefault="00E45E84">
      <w:pPr>
        <w:pStyle w:val="Textbody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уровня </w:t>
      </w:r>
      <w:r>
        <w:rPr>
          <w:b/>
          <w:bCs/>
          <w:sz w:val="28"/>
          <w:szCs w:val="28"/>
        </w:rPr>
        <w:t>концентрации товарного рынка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определения уровня концентрации товарного рынка используются следующие показатели: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коэффициент рыночной концентрации (CR) - сумма долей на товарном рынке (выраженных в процентах) определенного числа (n) крупнейших </w:t>
      </w:r>
      <w:r>
        <w:rPr>
          <w:bCs/>
          <w:sz w:val="28"/>
          <w:szCs w:val="28"/>
        </w:rPr>
        <w:t>хозяйствующих субъектов, действующих на данном рынке;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индекс рыночной концентрации Герфиндаля-Гиршмана (HHI) - сумма квадратов долей (выраженных в процентах) на товарном рынке всех хозяйствующих субъектов, действующих на данном рынке.</w:t>
      </w:r>
    </w:p>
    <w:p w:rsidR="00B4328B" w:rsidRDefault="00E45E84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>
        <w:rPr>
          <w:sz w:val="28"/>
          <w:szCs w:val="28"/>
        </w:rPr>
        <w:t>азличными значениями коэффициента рыночной концентрации и индекса рыночной концентрации Герфиндаля-Гиршмана выделяются следующие уровни концентрации товарного рынка: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высокий: при 70% &lt;= CR &lt;= 100% или 2000 &lt;= HHI &lt;= 10000</w:t>
      </w:r>
    </w:p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умеренный: при 45% &lt;= CR &lt;= 70</w:t>
      </w:r>
      <w:r>
        <w:rPr>
          <w:sz w:val="28"/>
          <w:szCs w:val="28"/>
        </w:rPr>
        <w:t>% или 1000 &lt;= HHI &lt; 2000</w:t>
      </w:r>
    </w:p>
    <w:p w:rsidR="00B4328B" w:rsidRDefault="00E45E84">
      <w:pPr>
        <w:pStyle w:val="Textbody"/>
        <w:spacing w:line="28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низкий: при CR &lt; 45% или HHI &lt; 1000.</w:t>
      </w:r>
    </w:p>
    <w:p w:rsidR="00B4328B" w:rsidRDefault="00B4328B">
      <w:pPr>
        <w:pStyle w:val="Textbody"/>
        <w:spacing w:line="276" w:lineRule="auto"/>
        <w:ind w:firstLine="709"/>
        <w:jc w:val="right"/>
        <w:rPr>
          <w:i/>
          <w:iCs/>
          <w:szCs w:val="24"/>
        </w:rPr>
      </w:pPr>
    </w:p>
    <w:p w:rsidR="00B4328B" w:rsidRDefault="00B4328B">
      <w:pPr>
        <w:pStyle w:val="Textbody"/>
        <w:spacing w:line="276" w:lineRule="auto"/>
        <w:ind w:firstLine="709"/>
        <w:jc w:val="right"/>
        <w:rPr>
          <w:i/>
          <w:iCs/>
          <w:szCs w:val="24"/>
        </w:rPr>
      </w:pPr>
    </w:p>
    <w:p w:rsidR="00B4328B" w:rsidRDefault="00B4328B">
      <w:pPr>
        <w:pStyle w:val="Textbody"/>
        <w:spacing w:line="276" w:lineRule="auto"/>
        <w:ind w:firstLine="709"/>
        <w:jc w:val="right"/>
        <w:rPr>
          <w:i/>
          <w:iCs/>
          <w:szCs w:val="24"/>
        </w:rPr>
      </w:pPr>
    </w:p>
    <w:p w:rsidR="00B4328B" w:rsidRDefault="00E45E84">
      <w:pPr>
        <w:pStyle w:val="Textbody"/>
        <w:spacing w:line="276" w:lineRule="auto"/>
        <w:ind w:firstLine="709"/>
        <w:jc w:val="right"/>
        <w:rPr>
          <w:i/>
          <w:iCs/>
          <w:szCs w:val="24"/>
        </w:rPr>
      </w:pPr>
      <w:r>
        <w:rPr>
          <w:i/>
          <w:iCs/>
          <w:szCs w:val="24"/>
        </w:rPr>
        <w:t>Таблица 4. Расчет уровня концентрации</w:t>
      </w:r>
    </w:p>
    <w:tbl>
      <w:tblPr>
        <w:tblW w:w="14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5359"/>
        <w:gridCol w:w="3420"/>
        <w:gridCol w:w="5462"/>
      </w:tblGrid>
      <w:tr w:rsidR="00B4328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 xml:space="preserve"> №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Границы зон деятельности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Наименование хозяйствующего субъекта, осуществляющего услугу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Уровень концентрации по каждому муниципальному образованию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1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3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4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1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Чукотский район, Провиденский район, Иультинский район Чукотского автономного округа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/>
              <w:jc w:val="center"/>
            </w:pPr>
            <w:r>
              <w:t>Непубличное акционерное общество «Чукотская торговая компания» (</w:t>
            </w:r>
            <w:r>
              <w:rPr>
                <w:rFonts w:ascii="TimesNewRomanPSMT" w:eastAsia="TimesNewRomanPSMT" w:hAnsi="TimesNewRomanPSMT" w:cs="TimesNewRomanPSMT"/>
              </w:rPr>
              <w:t>ИНН/КПП 8704000668/870401001, ОГРН 1028700589807</w:t>
            </w:r>
            <w:r>
              <w:t>)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both"/>
              <w:textAlignment w:val="center"/>
            </w:pPr>
            <w:r>
              <w:rPr>
                <w:bCs/>
                <w:lang w:val="en-US"/>
              </w:rPr>
              <w:t>CR</w:t>
            </w:r>
            <w:r>
              <w:t xml:space="preserve">= 100%, высокий — при 70% &lt;= </w:t>
            </w:r>
            <w:r>
              <w:rPr>
                <w:bCs/>
                <w:lang w:val="en-US"/>
              </w:rPr>
              <w:t>CR</w:t>
            </w:r>
            <w:r>
              <w:t xml:space="preserve"> &lt;= 100%;  </w:t>
            </w:r>
            <w:r>
              <w:rPr>
                <w:lang w:val="en-US"/>
              </w:rPr>
              <w:t>HHI</w:t>
            </w:r>
            <w:r>
              <w:t>=10000, высокий — при 2000 &lt;= HHI &lt;= 10000</w:t>
            </w:r>
          </w:p>
        </w:tc>
      </w:tr>
      <w:tr w:rsidR="00B432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center"/>
            </w:pPr>
            <w:r>
              <w:t>2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Анадырь, Анадырский район, Билибинский район, Чаунский район Чукотского автономного округа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Standard"/>
              <w:jc w:val="center"/>
            </w:pPr>
            <w:r>
              <w:rPr>
                <w:sz w:val="24"/>
                <w:szCs w:val="24"/>
              </w:rPr>
              <w:t>Государственное предприятие Чукотского автономного округа «Чукотснаб» (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ИНН/КПП 8709008156/870901001, 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ОГРН 1028700587035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8B" w:rsidRDefault="00E45E84">
            <w:pPr>
              <w:pStyle w:val="a9"/>
              <w:spacing w:before="0" w:after="0" w:line="300" w:lineRule="auto"/>
              <w:jc w:val="both"/>
              <w:textAlignment w:val="center"/>
            </w:pPr>
            <w:r>
              <w:rPr>
                <w:bCs/>
                <w:lang w:val="en-US"/>
              </w:rPr>
              <w:t>CR</w:t>
            </w:r>
            <w:r>
              <w:t xml:space="preserve">= 100%, высокий — при 70% &lt;= </w:t>
            </w:r>
            <w:r>
              <w:rPr>
                <w:bCs/>
                <w:lang w:val="en-US"/>
              </w:rPr>
              <w:t>CR</w:t>
            </w:r>
            <w:r>
              <w:t xml:space="preserve"> &lt;= 100%;  </w:t>
            </w:r>
            <w:r>
              <w:rPr>
                <w:lang w:val="en-US"/>
              </w:rPr>
              <w:t>HHI</w:t>
            </w:r>
            <w:r>
              <w:t>=10000, высокий — при 2000 &lt;= HHI &lt;= 10000</w:t>
            </w:r>
          </w:p>
        </w:tc>
      </w:tr>
    </w:tbl>
    <w:p w:rsidR="00B4328B" w:rsidRDefault="00E45E84">
      <w:pPr>
        <w:pStyle w:val="Textbody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Полученные значения индекса рыночной концентрации Герфиндаля-Гиршмана свидетельствуют о том, что в административных границах исследуемого </w:t>
      </w:r>
      <w:r>
        <w:rPr>
          <w:sz w:val="28"/>
          <w:szCs w:val="28"/>
        </w:rPr>
        <w:t>розничного рынка каждого хозяйствующего субъекта, осуществляющий розничную торговлю дизельным топливом относится к типу рынков с высокой степенью концентрации.</w:t>
      </w:r>
    </w:p>
    <w:p w:rsidR="00B4328B" w:rsidRDefault="00E45E84">
      <w:pPr>
        <w:pStyle w:val="Textbody"/>
        <w:spacing w:before="113" w:after="113"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состояния конкурентной среды на рынке</w:t>
      </w:r>
    </w:p>
    <w:p w:rsidR="00B4328B" w:rsidRDefault="00E45E84">
      <w:pPr>
        <w:pStyle w:val="a9"/>
        <w:numPr>
          <w:ilvl w:val="2"/>
          <w:numId w:val="43"/>
        </w:numPr>
        <w:spacing w:before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Розничный рынок дизельного топлива на территории  Ч</w:t>
      </w:r>
      <w:r>
        <w:rPr>
          <w:sz w:val="28"/>
          <w:szCs w:val="28"/>
        </w:rPr>
        <w:t>укотского автономного округа в исследуемом периоде относится к высококонцентрированному типу с неразвитой конкуренцией;</w:t>
      </w:r>
    </w:p>
    <w:p w:rsidR="00B4328B" w:rsidRDefault="00E45E84">
      <w:pPr>
        <w:pStyle w:val="a9"/>
        <w:numPr>
          <w:ilvl w:val="2"/>
          <w:numId w:val="43"/>
        </w:numPr>
        <w:spacing w:before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Установленные хозяйствующие субъекты, действующие на данном исследуемом рынке, занимают доминирующие положение в соответствующих им гран</w:t>
      </w:r>
      <w:r>
        <w:rPr>
          <w:sz w:val="28"/>
          <w:szCs w:val="28"/>
        </w:rPr>
        <w:t>ицах зон деятельности на территории Чукотского автономного округа.</w:t>
      </w:r>
    </w:p>
    <w:p w:rsidR="00B4328B" w:rsidRDefault="00E45E84">
      <w:pPr>
        <w:pStyle w:val="a9"/>
        <w:numPr>
          <w:ilvl w:val="2"/>
          <w:numId w:val="43"/>
        </w:numPr>
        <w:spacing w:before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в 2016 г. дела о нарушении антимонопольного законодательства на розничном рынке дизельного топлива Чукотским УФАС России не возбуждались.</w:t>
      </w:r>
    </w:p>
    <w:p w:rsidR="00B4328B" w:rsidRDefault="00B4328B">
      <w:pPr>
        <w:pStyle w:val="a9"/>
        <w:spacing w:before="0" w:after="0" w:line="288" w:lineRule="auto"/>
        <w:ind w:firstLine="709"/>
        <w:jc w:val="both"/>
        <w:rPr>
          <w:sz w:val="28"/>
          <w:szCs w:val="28"/>
        </w:rPr>
      </w:pPr>
    </w:p>
    <w:p w:rsidR="00B4328B" w:rsidRDefault="00E45E84">
      <w:pPr>
        <w:pStyle w:val="a9"/>
        <w:spacing w:before="0"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— </w:t>
      </w:r>
      <w:r>
        <w:rPr>
          <w:sz w:val="28"/>
          <w:szCs w:val="28"/>
        </w:rPr>
        <w:t>эксперт</w:t>
      </w:r>
    </w:p>
    <w:p w:rsidR="00B4328B" w:rsidRDefault="00E45E84">
      <w:pPr>
        <w:pStyle w:val="a9"/>
        <w:spacing w:before="0" w:after="0" w:line="288" w:lineRule="auto"/>
        <w:jc w:val="both"/>
      </w:pPr>
      <w:r>
        <w:rPr>
          <w:sz w:val="28"/>
          <w:szCs w:val="28"/>
        </w:rPr>
        <w:t>Чукотского УФАС России                                                                                                                                           А.В.Пашиева</w:t>
      </w:r>
    </w:p>
    <w:sectPr w:rsidR="00B4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720" w:right="1134" w:bottom="83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84" w:rsidRDefault="00E45E84">
      <w:r>
        <w:separator/>
      </w:r>
    </w:p>
  </w:endnote>
  <w:endnote w:type="continuationSeparator" w:id="0">
    <w:p w:rsidR="00E45E84" w:rsidRDefault="00E4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24" w:rsidRDefault="00E45E8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436901">
      <w:rPr>
        <w:noProof/>
      </w:rPr>
      <w:t>2</w:t>
    </w:r>
    <w:r>
      <w:fldChar w:fldCharType="end"/>
    </w:r>
  </w:p>
  <w:p w:rsidR="00C40F24" w:rsidRDefault="00E45E84">
    <w:pPr>
      <w:pStyle w:val="a5"/>
      <w:jc w:val="both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24" w:rsidRDefault="00E45E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84" w:rsidRDefault="00E45E84">
      <w:r>
        <w:rPr>
          <w:color w:val="000000"/>
        </w:rPr>
        <w:separator/>
      </w:r>
    </w:p>
  </w:footnote>
  <w:footnote w:type="continuationSeparator" w:id="0">
    <w:p w:rsidR="00E45E84" w:rsidRDefault="00E4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24" w:rsidRDefault="00E45E8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24" w:rsidRDefault="00E45E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24" w:rsidRDefault="00E45E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946"/>
    <w:multiLevelType w:val="multilevel"/>
    <w:tmpl w:val="C3F2D5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8B705B"/>
    <w:multiLevelType w:val="multilevel"/>
    <w:tmpl w:val="6BE6CA8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4AC69C7"/>
    <w:multiLevelType w:val="multilevel"/>
    <w:tmpl w:val="860CEEFA"/>
    <w:styleLink w:val="WWNum25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" w15:restartNumberingAfterBreak="0">
    <w:nsid w:val="07987AC9"/>
    <w:multiLevelType w:val="multilevel"/>
    <w:tmpl w:val="9590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66635B"/>
    <w:multiLevelType w:val="multilevel"/>
    <w:tmpl w:val="DC3C66C6"/>
    <w:styleLink w:val="WWNum2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 w15:restartNumberingAfterBreak="0">
    <w:nsid w:val="09F649EE"/>
    <w:multiLevelType w:val="multilevel"/>
    <w:tmpl w:val="E7AC48AC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0B9A3D3D"/>
    <w:multiLevelType w:val="multilevel"/>
    <w:tmpl w:val="25CC8E40"/>
    <w:styleLink w:val="WW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08A1FF9"/>
    <w:multiLevelType w:val="multilevel"/>
    <w:tmpl w:val="8D7AF9FE"/>
    <w:styleLink w:val="WWNum2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8" w15:restartNumberingAfterBreak="0">
    <w:nsid w:val="17216F6E"/>
    <w:multiLevelType w:val="multilevel"/>
    <w:tmpl w:val="4ECEC2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BBE7178"/>
    <w:multiLevelType w:val="multilevel"/>
    <w:tmpl w:val="BA782B92"/>
    <w:styleLink w:val="WWNum1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DD35F72"/>
    <w:multiLevelType w:val="multilevel"/>
    <w:tmpl w:val="BCBC12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FDA355C"/>
    <w:multiLevelType w:val="multilevel"/>
    <w:tmpl w:val="93221B02"/>
    <w:styleLink w:val="WWNum19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2" w15:restartNumberingAfterBreak="0">
    <w:nsid w:val="24F451D0"/>
    <w:multiLevelType w:val="multilevel"/>
    <w:tmpl w:val="AA225A84"/>
    <w:styleLink w:val="WWNum1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283A7E8F"/>
    <w:multiLevelType w:val="multilevel"/>
    <w:tmpl w:val="14C8A0FC"/>
    <w:styleLink w:val="WWNum12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14" w15:restartNumberingAfterBreak="0">
    <w:nsid w:val="29A152FD"/>
    <w:multiLevelType w:val="multilevel"/>
    <w:tmpl w:val="D944C5C2"/>
    <w:styleLink w:val="WWNum14"/>
    <w:lvl w:ilvl="0">
      <w:start w:val="3"/>
      <w:numFmt w:val="decimal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5" w15:restartNumberingAfterBreak="0">
    <w:nsid w:val="2C2E12A1"/>
    <w:multiLevelType w:val="multilevel"/>
    <w:tmpl w:val="D01C3834"/>
    <w:styleLink w:val="WWNum32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6" w15:restartNumberingAfterBreak="0">
    <w:nsid w:val="346D6593"/>
    <w:multiLevelType w:val="multilevel"/>
    <w:tmpl w:val="F63E58A2"/>
    <w:styleLink w:val="WWNum27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7" w15:restartNumberingAfterBreak="0">
    <w:nsid w:val="36F80054"/>
    <w:multiLevelType w:val="multilevel"/>
    <w:tmpl w:val="7000527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375450B5"/>
    <w:multiLevelType w:val="multilevel"/>
    <w:tmpl w:val="EE50F2B4"/>
    <w:styleLink w:val="WWNum2"/>
    <w:lvl w:ilvl="0">
      <w:start w:val="1"/>
      <w:numFmt w:val="decimal"/>
      <w:lvlText w:val="%1."/>
      <w:lvlJc w:val="left"/>
      <w:pPr>
        <w:ind w:left="1818" w:hanging="111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CAE2BC3"/>
    <w:multiLevelType w:val="multilevel"/>
    <w:tmpl w:val="2EF24572"/>
    <w:styleLink w:val="WWNum34"/>
    <w:lvl w:ilvl="0">
      <w:start w:val="8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0" w15:restartNumberingAfterBreak="0">
    <w:nsid w:val="3D6B00DF"/>
    <w:multiLevelType w:val="multilevel"/>
    <w:tmpl w:val="48868EF8"/>
    <w:styleLink w:val="WWNum2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1" w15:restartNumberingAfterBreak="0">
    <w:nsid w:val="3EED5844"/>
    <w:multiLevelType w:val="multilevel"/>
    <w:tmpl w:val="F9E2EC2C"/>
    <w:styleLink w:val="WW8Num3"/>
    <w:lvl w:ilvl="0">
      <w:start w:val="3"/>
      <w:numFmt w:val="upperRoman"/>
      <w:lvlText w:val="%1."/>
      <w:lvlJc w:val="right"/>
      <w:pPr>
        <w:ind w:left="-360" w:hanging="36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ind w:left="-345" w:hanging="375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3">
      <w:start w:val="1"/>
      <w:numFmt w:val="decimal"/>
      <w:lvlText w:val="%1.%2.%3.%4"/>
      <w:lvlJc w:val="left"/>
      <w:pPr>
        <w:ind w:left="360" w:hanging="108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5">
      <w:start w:val="1"/>
      <w:numFmt w:val="decimal"/>
      <w:lvlText w:val="%1.%2.%3.%4.%5.%6"/>
      <w:lvlJc w:val="left"/>
      <w:pPr>
        <w:ind w:left="720" w:hanging="144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6">
      <w:start w:val="1"/>
      <w:numFmt w:val="decimal"/>
      <w:lvlText w:val="%1.%2.%3.%4.%5.%6.%7"/>
      <w:lvlJc w:val="left"/>
      <w:pPr>
        <w:ind w:left="720" w:hanging="144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7">
      <w:start w:val="1"/>
      <w:numFmt w:val="decimal"/>
      <w:lvlText w:val="%1.%2.%3.%4.%5.%6.%7.%8"/>
      <w:lvlJc w:val="left"/>
      <w:pPr>
        <w:ind w:left="1080" w:hanging="1800"/>
      </w:pPr>
      <w:rPr>
        <w:rFonts w:ascii="Times New Roman" w:hAnsi="Times New Roman" w:cs="Times New Roman"/>
        <w:b/>
        <w:sz w:val="28"/>
        <w:szCs w:val="28"/>
        <w:lang w:eastAsia="ru-RU"/>
      </w:rPr>
    </w:lvl>
    <w:lvl w:ilvl="8">
      <w:start w:val="1"/>
      <w:numFmt w:val="decimal"/>
      <w:lvlText w:val="%1.%2.%3.%4.%5.%6.%7.%8.%9"/>
      <w:lvlJc w:val="left"/>
      <w:pPr>
        <w:ind w:left="1440" w:hanging="2160"/>
      </w:pPr>
      <w:rPr>
        <w:rFonts w:ascii="Times New Roman" w:hAnsi="Times New Roman" w:cs="Times New Roman"/>
        <w:b/>
        <w:sz w:val="28"/>
        <w:szCs w:val="28"/>
        <w:lang w:eastAsia="ru-RU"/>
      </w:rPr>
    </w:lvl>
  </w:abstractNum>
  <w:abstractNum w:abstractNumId="22" w15:restartNumberingAfterBreak="0">
    <w:nsid w:val="452A2956"/>
    <w:multiLevelType w:val="multilevel"/>
    <w:tmpl w:val="EB6887E6"/>
    <w:styleLink w:val="WWNum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3" w15:restartNumberingAfterBreak="0">
    <w:nsid w:val="459F2C69"/>
    <w:multiLevelType w:val="multilevel"/>
    <w:tmpl w:val="FD08B000"/>
    <w:styleLink w:val="WWNum33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4" w15:restartNumberingAfterBreak="0">
    <w:nsid w:val="45EF1D40"/>
    <w:multiLevelType w:val="multilevel"/>
    <w:tmpl w:val="CBE81132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7E96D16"/>
    <w:multiLevelType w:val="multilevel"/>
    <w:tmpl w:val="510C9666"/>
    <w:styleLink w:val="WW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E1127EA"/>
    <w:multiLevelType w:val="multilevel"/>
    <w:tmpl w:val="DA489754"/>
    <w:styleLink w:val="WWNum28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27" w15:restartNumberingAfterBreak="0">
    <w:nsid w:val="4F27600C"/>
    <w:multiLevelType w:val="multilevel"/>
    <w:tmpl w:val="CDBC5C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1E63777"/>
    <w:multiLevelType w:val="multilevel"/>
    <w:tmpl w:val="183281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2A82FE3"/>
    <w:multiLevelType w:val="multilevel"/>
    <w:tmpl w:val="A0DA34EA"/>
    <w:styleLink w:val="WWNum1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41E5B7B"/>
    <w:multiLevelType w:val="multilevel"/>
    <w:tmpl w:val="9A7879D0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1" w15:restartNumberingAfterBreak="0">
    <w:nsid w:val="54F5124A"/>
    <w:multiLevelType w:val="multilevel"/>
    <w:tmpl w:val="AA02C26A"/>
    <w:styleLink w:val="WWNum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2" w15:restartNumberingAfterBreak="0">
    <w:nsid w:val="5A9605D6"/>
    <w:multiLevelType w:val="multilevel"/>
    <w:tmpl w:val="3A482F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5095E72"/>
    <w:multiLevelType w:val="multilevel"/>
    <w:tmpl w:val="FDF8C2BA"/>
    <w:styleLink w:val="WWNum30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34" w15:restartNumberingAfterBreak="0">
    <w:nsid w:val="6D4946B8"/>
    <w:multiLevelType w:val="multilevel"/>
    <w:tmpl w:val="A43066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EB14972"/>
    <w:multiLevelType w:val="multilevel"/>
    <w:tmpl w:val="C982F55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205720A"/>
    <w:multiLevelType w:val="multilevel"/>
    <w:tmpl w:val="8E4A234E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750D5620"/>
    <w:multiLevelType w:val="multilevel"/>
    <w:tmpl w:val="7DBAEA68"/>
    <w:styleLink w:val="WWNum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8" w15:restartNumberingAfterBreak="0">
    <w:nsid w:val="7675333E"/>
    <w:multiLevelType w:val="multilevel"/>
    <w:tmpl w:val="00564EC6"/>
    <w:styleLink w:val="WWNum1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7071FA9"/>
    <w:multiLevelType w:val="multilevel"/>
    <w:tmpl w:val="A13615A0"/>
    <w:styleLink w:val="WWNum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7875727A"/>
    <w:multiLevelType w:val="multilevel"/>
    <w:tmpl w:val="E7D20D42"/>
    <w:styleLink w:val="WW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7A3933E5"/>
    <w:multiLevelType w:val="multilevel"/>
    <w:tmpl w:val="4F34E886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2" w15:restartNumberingAfterBreak="0">
    <w:nsid w:val="7A776D8A"/>
    <w:multiLevelType w:val="multilevel"/>
    <w:tmpl w:val="3110A220"/>
    <w:styleLink w:val="WWNum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35"/>
  </w:num>
  <w:num w:numId="5">
    <w:abstractNumId w:val="6"/>
  </w:num>
  <w:num w:numId="6">
    <w:abstractNumId w:val="30"/>
  </w:num>
  <w:num w:numId="7">
    <w:abstractNumId w:val="22"/>
  </w:num>
  <w:num w:numId="8">
    <w:abstractNumId w:val="41"/>
  </w:num>
  <w:num w:numId="9">
    <w:abstractNumId w:val="39"/>
  </w:num>
  <w:num w:numId="10">
    <w:abstractNumId w:val="40"/>
  </w:num>
  <w:num w:numId="11">
    <w:abstractNumId w:val="38"/>
  </w:num>
  <w:num w:numId="12">
    <w:abstractNumId w:val="13"/>
  </w:num>
  <w:num w:numId="13">
    <w:abstractNumId w:val="25"/>
  </w:num>
  <w:num w:numId="14">
    <w:abstractNumId w:val="14"/>
  </w:num>
  <w:num w:numId="15">
    <w:abstractNumId w:val="9"/>
  </w:num>
  <w:num w:numId="16">
    <w:abstractNumId w:val="37"/>
  </w:num>
  <w:num w:numId="17">
    <w:abstractNumId w:val="12"/>
  </w:num>
  <w:num w:numId="18">
    <w:abstractNumId w:val="42"/>
  </w:num>
  <w:num w:numId="19">
    <w:abstractNumId w:val="11"/>
  </w:num>
  <w:num w:numId="20">
    <w:abstractNumId w:val="24"/>
  </w:num>
  <w:num w:numId="21">
    <w:abstractNumId w:val="4"/>
  </w:num>
  <w:num w:numId="22">
    <w:abstractNumId w:val="5"/>
  </w:num>
  <w:num w:numId="23">
    <w:abstractNumId w:val="20"/>
  </w:num>
  <w:num w:numId="24">
    <w:abstractNumId w:val="7"/>
  </w:num>
  <w:num w:numId="25">
    <w:abstractNumId w:val="2"/>
  </w:num>
  <w:num w:numId="26">
    <w:abstractNumId w:val="17"/>
  </w:num>
  <w:num w:numId="27">
    <w:abstractNumId w:val="16"/>
  </w:num>
  <w:num w:numId="28">
    <w:abstractNumId w:val="26"/>
  </w:num>
  <w:num w:numId="29">
    <w:abstractNumId w:val="36"/>
  </w:num>
  <w:num w:numId="30">
    <w:abstractNumId w:val="33"/>
  </w:num>
  <w:num w:numId="31">
    <w:abstractNumId w:val="1"/>
  </w:num>
  <w:num w:numId="32">
    <w:abstractNumId w:val="15"/>
  </w:num>
  <w:num w:numId="33">
    <w:abstractNumId w:val="23"/>
  </w:num>
  <w:num w:numId="34">
    <w:abstractNumId w:val="19"/>
  </w:num>
  <w:num w:numId="35">
    <w:abstractNumId w:val="21"/>
  </w:num>
  <w:num w:numId="36">
    <w:abstractNumId w:val="0"/>
  </w:num>
  <w:num w:numId="37">
    <w:abstractNumId w:val="10"/>
  </w:num>
  <w:num w:numId="38">
    <w:abstractNumId w:val="32"/>
  </w:num>
  <w:num w:numId="39">
    <w:abstractNumId w:val="34"/>
  </w:num>
  <w:num w:numId="40">
    <w:abstractNumId w:val="28"/>
  </w:num>
  <w:num w:numId="41">
    <w:abstractNumId w:val="27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13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328B"/>
    <w:rsid w:val="00436901"/>
    <w:rsid w:val="00B4328B"/>
    <w:rsid w:val="00E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405ED-8120-4B8E-AF67-A0F28787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widowControl/>
      <w:ind w:left="283" w:firstLine="720"/>
      <w:jc w:val="both"/>
    </w:pPr>
    <w:rPr>
      <w:sz w:val="26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20">
    <w:name w:val="Body Text Indent 2"/>
    <w:basedOn w:val="Standard"/>
    <w:pPr>
      <w:ind w:firstLine="709"/>
      <w:jc w:val="both"/>
    </w:pPr>
    <w:rPr>
      <w:sz w:val="28"/>
    </w:rPr>
  </w:style>
  <w:style w:type="paragraph" w:styleId="3">
    <w:name w:val="Body Text Indent 3"/>
    <w:basedOn w:val="Standard"/>
    <w:pPr>
      <w:ind w:firstLine="720"/>
      <w:jc w:val="both"/>
    </w:pPr>
    <w:rPr>
      <w:sz w:val="28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pPr>
      <w:suppressAutoHyphens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Standard"/>
    <w:pPr>
      <w:widowControl/>
    </w:pPr>
  </w:style>
  <w:style w:type="paragraph" w:styleId="a8">
    <w:name w:val="List Paragraph"/>
    <w:basedOn w:val="Standard"/>
    <w:pPr>
      <w:widowControl/>
      <w:ind w:left="720"/>
    </w:pPr>
    <w:rPr>
      <w:sz w:val="24"/>
      <w:szCs w:val="24"/>
    </w:rPr>
  </w:style>
  <w:style w:type="paragraph" w:customStyle="1" w:styleId="ConsPlusCell">
    <w:name w:val="ConsPlusCell"/>
    <w:pPr>
      <w:widowControl/>
      <w:suppressAutoHyphens/>
    </w:pPr>
    <w:rPr>
      <w:rFonts w:ascii="Times New Roman" w:hAnsi="Times New Roman"/>
      <w:sz w:val="26"/>
      <w:szCs w:val="26"/>
    </w:rPr>
  </w:style>
  <w:style w:type="paragraph" w:styleId="a9">
    <w:name w:val="Normal (Web)"/>
    <w:basedOn w:val="Standard"/>
    <w:pPr>
      <w:widowControl/>
      <w:spacing w:before="100" w:after="119"/>
    </w:pPr>
    <w:rPr>
      <w:sz w:val="24"/>
      <w:szCs w:val="24"/>
    </w:rPr>
  </w:style>
  <w:style w:type="paragraph" w:customStyle="1" w:styleId="sdfootnote">
    <w:name w:val="sdfootnote"/>
    <w:basedOn w:val="Standard"/>
    <w:pPr>
      <w:widowControl/>
      <w:spacing w:before="100"/>
      <w:ind w:left="284" w:hanging="284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Таблицы (моноширинный)"/>
    <w:basedOn w:val="Standard"/>
    <w:pPr>
      <w:jc w:val="both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</w:style>
  <w:style w:type="character" w:customStyle="1" w:styleId="af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1">
    <w:name w:val="Текст сноски Знак"/>
    <w:rPr>
      <w:rFonts w:ascii="Times New Roman" w:eastAsia="Times New Roman" w:hAnsi="Times New Roman"/>
    </w:rPr>
  </w:style>
  <w:style w:type="character" w:styleId="af2">
    <w:name w:val="footnote reference"/>
    <w:rPr>
      <w:position w:val="0"/>
      <w:vertAlign w:val="superscript"/>
    </w:rPr>
  </w:style>
  <w:style w:type="character" w:customStyle="1" w:styleId="r">
    <w:name w:val="r"/>
  </w:style>
  <w:style w:type="character" w:customStyle="1" w:styleId="f">
    <w:name w:val="f"/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pelle">
    <w:name w:val="spelle"/>
    <w:basedOn w:val="a0"/>
  </w:style>
  <w:style w:type="character" w:customStyle="1" w:styleId="apple-converted-space">
    <w:name w:val="apple-converted-space"/>
    <w:basedOn w:val="a0"/>
  </w:style>
  <w:style w:type="character" w:customStyle="1" w:styleId="grame">
    <w:name w:val="grame"/>
    <w:basedOn w:val="a0"/>
  </w:style>
  <w:style w:type="character" w:customStyle="1" w:styleId="WW8Num3z0">
    <w:name w:val="WW8Num3z0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WW8Num3z1">
    <w:name w:val="WW8Num3z1"/>
    <w:rPr>
      <w:rFonts w:ascii="Times New Roman" w:hAnsi="Times New Roman" w:cs="Times New Roman"/>
      <w:b w:val="0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8Num3">
    <w:name w:val="WW8Num3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Цуман</dc:creator>
  <cp:lastModifiedBy>Чукотское УФАС России</cp:lastModifiedBy>
  <cp:revision>2</cp:revision>
  <cp:lastPrinted>2017-06-13T09:45:00Z</cp:lastPrinted>
  <dcterms:created xsi:type="dcterms:W3CDTF">2017-06-13T08:43:00Z</dcterms:created>
  <dcterms:modified xsi:type="dcterms:W3CDTF">2017-06-13T08:43:00Z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