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E9" w:rsidRDefault="00AD155F">
      <w:pPr>
        <w:pStyle w:val="Standard"/>
        <w:tabs>
          <w:tab w:val="left" w:pos="5670"/>
        </w:tabs>
        <w:jc w:val="right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C34AE9" w:rsidRDefault="00AD155F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Руководитель</w:t>
      </w:r>
    </w:p>
    <w:p w:rsidR="00C34AE9" w:rsidRDefault="00AD155F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Чукотского УФАС России</w:t>
      </w:r>
    </w:p>
    <w:p w:rsidR="00C34AE9" w:rsidRDefault="00AD155F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34AE9" w:rsidRDefault="00AD155F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__________    Т.А. Омаев</w:t>
      </w:r>
    </w:p>
    <w:p w:rsidR="00C34AE9" w:rsidRDefault="00C34AE9">
      <w:pPr>
        <w:pStyle w:val="Standard"/>
        <w:tabs>
          <w:tab w:val="left" w:pos="5670"/>
        </w:tabs>
        <w:jc w:val="right"/>
        <w:rPr>
          <w:sz w:val="28"/>
          <w:szCs w:val="28"/>
        </w:rPr>
      </w:pPr>
    </w:p>
    <w:p w:rsidR="00C34AE9" w:rsidRDefault="00AD155F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13 июня 2017 г.</w:t>
      </w:r>
    </w:p>
    <w:p w:rsidR="00C34AE9" w:rsidRDefault="00C34AE9">
      <w:pPr>
        <w:pStyle w:val="a9"/>
        <w:spacing w:before="0" w:after="0" w:line="288" w:lineRule="auto"/>
        <w:ind w:firstLine="709"/>
        <w:jc w:val="center"/>
        <w:rPr>
          <w:b/>
          <w:bCs/>
          <w:sz w:val="28"/>
          <w:szCs w:val="28"/>
        </w:rPr>
      </w:pPr>
    </w:p>
    <w:p w:rsidR="00C34AE9" w:rsidRDefault="00AD155F">
      <w:pPr>
        <w:pStyle w:val="a9"/>
        <w:spacing w:before="0" w:after="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Аналитический отчет по результатам анализа состояния конкуренции на розничных рынках автомобильного топлива</w:t>
      </w:r>
      <w:r>
        <w:rPr>
          <w:b/>
          <w:bCs/>
          <w:sz w:val="28"/>
          <w:szCs w:val="28"/>
        </w:rPr>
        <w:t xml:space="preserve"> на территории Чукотского автономного округа за 2016 год</w:t>
      </w:r>
    </w:p>
    <w:p w:rsidR="00C34AE9" w:rsidRDefault="00AD155F">
      <w:pPr>
        <w:pStyle w:val="a9"/>
        <w:spacing w:before="240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34AE9" w:rsidRDefault="00AD155F">
      <w:pPr>
        <w:pStyle w:val="a9"/>
        <w:spacing w:before="0" w:after="0" w:line="300" w:lineRule="auto"/>
        <w:ind w:firstLine="709"/>
        <w:jc w:val="both"/>
      </w:pPr>
      <w:r>
        <w:rPr>
          <w:sz w:val="28"/>
          <w:szCs w:val="28"/>
        </w:rPr>
        <w:t xml:space="preserve">Анализ состояния конкуренции на розничных рынках автомобильного топлива на территории Чукотского автономного округа за 2016 год (далее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Анализ) проведен в соответствии с Порядком про</w:t>
      </w:r>
      <w:r>
        <w:rPr>
          <w:sz w:val="28"/>
          <w:szCs w:val="28"/>
        </w:rPr>
        <w:t>ведения анализа состояния конкуренции на товарном рынке, утвержденным Порядком проведения анализа состояния конкуренции на товарном рынке, утвержденным приказом ФАС России от 28.04.2010 № 220 «Об утверждении порядка проведения анализа состояния конкуренции</w:t>
      </w:r>
      <w:r>
        <w:rPr>
          <w:sz w:val="28"/>
          <w:szCs w:val="28"/>
        </w:rPr>
        <w:t xml:space="preserve"> на товарном рынке» (далее — Порядок), во исполнение приказа ФАС России от 05.12.2016 № 1718/16 «О плане работы ФАС России по анализу состояния конкуренции на товарных рынках на 2017-2018 годы» (далее — Приказ ФАС России от 05.12.2016 № 1718/16).</w:t>
      </w:r>
    </w:p>
    <w:p w:rsidR="00C34AE9" w:rsidRDefault="00AD155F">
      <w:pPr>
        <w:pStyle w:val="a9"/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</w:t>
      </w:r>
      <w:r>
        <w:rPr>
          <w:sz w:val="28"/>
          <w:szCs w:val="28"/>
        </w:rPr>
        <w:t>ведения анализа конкуренции на розничных рынках автомобильного топлива является установление доминирующего положения хозяйствующих субъектов, осуществляющих деятельность по розничной торговле автомобильными бензинами.</w:t>
      </w:r>
    </w:p>
    <w:p w:rsidR="00C34AE9" w:rsidRDefault="00AD155F">
      <w:pPr>
        <w:pStyle w:val="a9"/>
        <w:spacing w:before="240"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Временной интервал исследования </w:t>
      </w:r>
      <w:r>
        <w:rPr>
          <w:b/>
          <w:bCs/>
          <w:sz w:val="28"/>
          <w:szCs w:val="28"/>
        </w:rPr>
        <w:t>товарного рынка</w:t>
      </w:r>
    </w:p>
    <w:p w:rsidR="00C34AE9" w:rsidRDefault="00AD155F">
      <w:pPr>
        <w:pStyle w:val="a9"/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характеристики товарного рынка определены согласно Приказу ФАС России от 05.12.2016 № 1718/16, в пределах одного установленного временного интервала 2016 год.</w:t>
      </w:r>
    </w:p>
    <w:p w:rsidR="00C34AE9" w:rsidRDefault="00C34AE9">
      <w:pPr>
        <w:pStyle w:val="a9"/>
        <w:spacing w:before="240" w:line="300" w:lineRule="auto"/>
        <w:jc w:val="center"/>
        <w:rPr>
          <w:b/>
          <w:bCs/>
          <w:sz w:val="28"/>
          <w:szCs w:val="28"/>
        </w:rPr>
      </w:pPr>
    </w:p>
    <w:p w:rsidR="00C34AE9" w:rsidRDefault="00AD155F">
      <w:pPr>
        <w:pStyle w:val="a9"/>
        <w:spacing w:before="240"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продуктовых границ рынка</w:t>
      </w:r>
    </w:p>
    <w:p w:rsidR="00C34AE9" w:rsidRDefault="00AD155F">
      <w:pPr>
        <w:pStyle w:val="3"/>
        <w:spacing w:line="276" w:lineRule="auto"/>
      </w:pPr>
      <w:r>
        <w:t>В соответствии с пунктом 3.4. Порядка п</w:t>
      </w:r>
      <w:r>
        <w:t>роведения анализа состояния конкуренции на товарном рынке, утвержденного приказом ФАС России от 28.04.2010 № 220, определение товара может быть определено на основе:</w:t>
      </w:r>
    </w:p>
    <w:p w:rsidR="00C34AE9" w:rsidRDefault="00AD155F">
      <w:pPr>
        <w:pStyle w:val="3"/>
        <w:numPr>
          <w:ilvl w:val="0"/>
          <w:numId w:val="39"/>
        </w:numPr>
        <w:spacing w:line="276" w:lineRule="auto"/>
      </w:pPr>
      <w:r>
        <w:t>условий договора, заключенного в отношении товара;</w:t>
      </w:r>
    </w:p>
    <w:p w:rsidR="00C34AE9" w:rsidRDefault="00AD155F">
      <w:pPr>
        <w:pStyle w:val="3"/>
        <w:numPr>
          <w:ilvl w:val="0"/>
          <w:numId w:val="40"/>
        </w:numPr>
        <w:spacing w:line="276" w:lineRule="auto"/>
      </w:pPr>
      <w:r>
        <w:t>нормативных актов, регулирующих соответ</w:t>
      </w:r>
      <w:r>
        <w:t>ствующую деятельность;</w:t>
      </w:r>
    </w:p>
    <w:p w:rsidR="00C34AE9" w:rsidRDefault="00AD155F">
      <w:pPr>
        <w:pStyle w:val="3"/>
        <w:numPr>
          <w:ilvl w:val="0"/>
          <w:numId w:val="41"/>
        </w:numPr>
        <w:spacing w:line="276" w:lineRule="auto"/>
      </w:pPr>
      <w:r>
        <w:t>общероссийских классификаторов продукции, работ, услуг, видов экономической деятельности.</w:t>
      </w:r>
    </w:p>
    <w:p w:rsidR="00C34AE9" w:rsidRDefault="00AD155F">
      <w:pPr>
        <w:pStyle w:val="3"/>
        <w:spacing w:line="276" w:lineRule="auto"/>
      </w:pPr>
      <w:r>
        <w:t>Для целей настоящего исследования в соответствии с пунктом 3 Постановления Правительства РФ от 27.02.2008 № 118 «Об утверждении технического ре</w:t>
      </w:r>
      <w:r>
        <w:t>гламента «О требованиях к автомобильному и авиационному бензину, дизельному и судовому топливу, топливу для реактивных двигателей и топочному мазуту» используются следующие термины:</w:t>
      </w:r>
    </w:p>
    <w:p w:rsidR="00C34AE9" w:rsidRDefault="00AD155F">
      <w:pPr>
        <w:pStyle w:val="Standard"/>
        <w:spacing w:line="300" w:lineRule="auto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"бензин" - жидкое топливо для использования в двигателях с искровым зажига</w:t>
      </w:r>
      <w:r>
        <w:rPr>
          <w:rFonts w:eastAsia="Arial" w:cs="Arial"/>
          <w:sz w:val="28"/>
          <w:szCs w:val="28"/>
        </w:rPr>
        <w:t>нием;</w:t>
      </w:r>
    </w:p>
    <w:p w:rsidR="00C34AE9" w:rsidRDefault="00AD155F">
      <w:pPr>
        <w:pStyle w:val="Standard"/>
        <w:autoSpaceDE w:val="0"/>
        <w:spacing w:line="30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"марка продукции" - наименование, номерное или буквенное обозначение продукции, в том числе содержащее указание на октановое число автомобильного бензина;</w:t>
      </w:r>
    </w:p>
    <w:p w:rsidR="00C34AE9" w:rsidRDefault="00AD155F">
      <w:pPr>
        <w:pStyle w:val="Standard"/>
        <w:autoSpaceDE w:val="0"/>
        <w:spacing w:line="30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"нефтепродукт" - продукция, полученная при переработке углеводородсодержащего сырья;</w:t>
      </w:r>
    </w:p>
    <w:p w:rsidR="00C34AE9" w:rsidRDefault="00AD155F">
      <w:pPr>
        <w:pStyle w:val="Standard"/>
        <w:autoSpaceDE w:val="0"/>
        <w:spacing w:line="30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"октановое</w:t>
      </w:r>
      <w:r>
        <w:rPr>
          <w:rFonts w:eastAsia="Arial" w:cs="Arial"/>
          <w:sz w:val="28"/>
          <w:szCs w:val="28"/>
        </w:rPr>
        <w:t xml:space="preserve"> число" - показатель, характеризующий детонационную стойкость бензина, выраженный в единицах эталонной шкалы;</w:t>
      </w:r>
    </w:p>
    <w:p w:rsidR="00C34AE9" w:rsidRDefault="00AD155F">
      <w:pPr>
        <w:pStyle w:val="Standard"/>
        <w:autoSpaceDE w:val="0"/>
        <w:spacing w:line="30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"топливо для реактивных двигателей" - жидкое топливо для использования в газотурбинных (воздушно-реактивных) двигателях;</w:t>
      </w:r>
    </w:p>
    <w:p w:rsidR="00C34AE9" w:rsidRDefault="00AD155F">
      <w:pPr>
        <w:pStyle w:val="Standard"/>
        <w:autoSpaceDE w:val="0"/>
        <w:spacing w:line="30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"цетановое число" - показ</w:t>
      </w:r>
      <w:r>
        <w:rPr>
          <w:rFonts w:eastAsia="Arial" w:cs="Arial"/>
          <w:sz w:val="28"/>
          <w:szCs w:val="28"/>
        </w:rPr>
        <w:t>атель, характеризующий воспламеняемость дизельного топлива, выраженный в единицах эталонной шкалы.</w:t>
      </w:r>
    </w:p>
    <w:p w:rsidR="00C34AE9" w:rsidRDefault="00AD155F">
      <w:pPr>
        <w:pStyle w:val="Textbody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Обшероссийскому классификатору видов экономической деятельности, принятому Постановлением Государственного комитета Российской Федерации по стандарт</w:t>
      </w:r>
      <w:r>
        <w:rPr>
          <w:sz w:val="28"/>
          <w:szCs w:val="28"/>
        </w:rPr>
        <w:t>изации и метрологии от 06.11.2001 № 454-ст, розничная торговля дизельным топливом классифицирована в группе 50.50 «Розничная торговля моторным топливом».</w:t>
      </w:r>
    </w:p>
    <w:p w:rsidR="00C34AE9" w:rsidRDefault="00AD155F">
      <w:pPr>
        <w:pStyle w:val="Textbody"/>
        <w:spacing w:line="300" w:lineRule="auto"/>
        <w:ind w:firstLine="709"/>
      </w:pPr>
      <w:r>
        <w:rPr>
          <w:sz w:val="28"/>
          <w:szCs w:val="28"/>
        </w:rPr>
        <w:t>Бензины предназначены для поршневых двигателей внутреннего сгорания с принудительным воспламенением (о</w:t>
      </w:r>
      <w:r>
        <w:rPr>
          <w:sz w:val="28"/>
          <w:szCs w:val="28"/>
        </w:rPr>
        <w:t xml:space="preserve">т искры). ГОСТ Р 51866-2002 (ЕН 228-2004). «Государственный стандарт Российской Федерации. Топлива моторные. Бензин </w:t>
      </w:r>
      <w:r>
        <w:rPr>
          <w:sz w:val="28"/>
          <w:szCs w:val="28"/>
        </w:rPr>
        <w:lastRenderedPageBreak/>
        <w:t>неэтилированный. Технические условия» определяют область применения автомобильных бензинов как моторное топливо для бензиновых двигателей.</w:t>
      </w:r>
    </w:p>
    <w:p w:rsidR="00C34AE9" w:rsidRDefault="00AD155F">
      <w:pPr>
        <w:pStyle w:val="Textbody"/>
        <w:spacing w:line="300" w:lineRule="auto"/>
        <w:ind w:firstLine="709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в Российской Федерации </w:t>
      </w:r>
      <w:r>
        <w:rPr>
          <w:sz w:val="28"/>
          <w:szCs w:val="28"/>
        </w:rPr>
        <w:t>производятся и реализуются четыре основных вида автомобильных бензинов, предназначенных для использования в качестве моторного топлива на транспортных средствах с бензиновыми двигателями:</w:t>
      </w:r>
    </w:p>
    <w:p w:rsidR="00C34AE9" w:rsidRDefault="00AD155F">
      <w:pPr>
        <w:pStyle w:val="Textbody"/>
        <w:numPr>
          <w:ilvl w:val="0"/>
          <w:numId w:val="42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А-76 (ГОСТ 2084-77);</w:t>
      </w:r>
    </w:p>
    <w:p w:rsidR="00C34AE9" w:rsidRDefault="00AD155F">
      <w:pPr>
        <w:pStyle w:val="Textbody"/>
        <w:numPr>
          <w:ilvl w:val="0"/>
          <w:numId w:val="42"/>
        </w:numPr>
        <w:spacing w:line="300" w:lineRule="auto"/>
        <w:ind w:left="0" w:firstLine="709"/>
      </w:pPr>
      <w:r>
        <w:rPr>
          <w:sz w:val="28"/>
          <w:szCs w:val="28"/>
        </w:rPr>
        <w:t xml:space="preserve">АИ-92 </w:t>
      </w:r>
      <w:r>
        <w:rPr>
          <w:sz w:val="28"/>
          <w:szCs w:val="28"/>
        </w:rPr>
        <w:t xml:space="preserve">(ГОСТ 2084-77, </w:t>
      </w:r>
      <w:hyperlink r:id="rId7" w:history="1">
        <w:r>
          <w:t>ГОСТ Р 51105-97</w:t>
        </w:r>
      </w:hyperlink>
      <w:r>
        <w:rPr>
          <w:sz w:val="28"/>
          <w:szCs w:val="28"/>
        </w:rPr>
        <w:t>, ТУ 38.001165-2003, ГОСТ Р 51313-99);</w:t>
      </w:r>
    </w:p>
    <w:p w:rsidR="00C34AE9" w:rsidRDefault="00AD155F">
      <w:pPr>
        <w:pStyle w:val="Textbody"/>
        <w:numPr>
          <w:ilvl w:val="0"/>
          <w:numId w:val="42"/>
        </w:numPr>
        <w:spacing w:line="300" w:lineRule="auto"/>
        <w:ind w:left="0" w:firstLine="709"/>
      </w:pPr>
      <w:r>
        <w:rPr>
          <w:sz w:val="28"/>
          <w:szCs w:val="28"/>
        </w:rPr>
        <w:t xml:space="preserve">АИ-95 (ГОСТ 2084-77, </w:t>
      </w:r>
      <w:hyperlink r:id="rId8" w:history="1">
        <w:r>
          <w:t>ГОСТ Р 51105-97</w:t>
        </w:r>
      </w:hyperlink>
      <w:r>
        <w:rPr>
          <w:sz w:val="28"/>
          <w:szCs w:val="28"/>
        </w:rPr>
        <w:t>, ГОСТ Р 51313-99);</w:t>
      </w:r>
    </w:p>
    <w:p w:rsidR="00C34AE9" w:rsidRDefault="00AD155F">
      <w:pPr>
        <w:pStyle w:val="Textbody"/>
        <w:numPr>
          <w:ilvl w:val="0"/>
          <w:numId w:val="42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АИ-98 (ГОСТ Р 51313-99).</w:t>
      </w:r>
    </w:p>
    <w:p w:rsidR="00C34AE9" w:rsidRDefault="00AD155F">
      <w:pPr>
        <w:pStyle w:val="Textbody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Вместе с тем распространены также бензины иных марок:</w:t>
      </w:r>
    </w:p>
    <w:p w:rsidR="00C34AE9" w:rsidRDefault="00AD155F">
      <w:pPr>
        <w:pStyle w:val="Textbody"/>
        <w:numPr>
          <w:ilvl w:val="0"/>
          <w:numId w:val="43"/>
        </w:numPr>
        <w:spacing w:line="300" w:lineRule="auto"/>
        <w:ind w:left="0" w:firstLine="709"/>
      </w:pPr>
      <w:r>
        <w:rPr>
          <w:sz w:val="28"/>
          <w:szCs w:val="28"/>
        </w:rPr>
        <w:t xml:space="preserve">Нормаль-80 </w:t>
      </w:r>
      <w:hyperlink r:id="rId9" w:history="1">
        <w:r>
          <w:t>(ГОСТ Р 51105-97)</w:t>
        </w:r>
      </w:hyperlink>
      <w:r>
        <w:rPr>
          <w:sz w:val="28"/>
          <w:szCs w:val="28"/>
        </w:rPr>
        <w:t>;</w:t>
      </w:r>
    </w:p>
    <w:p w:rsidR="00C34AE9" w:rsidRDefault="00AD155F">
      <w:pPr>
        <w:pStyle w:val="Textbody"/>
        <w:numPr>
          <w:ilvl w:val="0"/>
          <w:numId w:val="43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АИ-80 (ТУ 38.001165-2003);</w:t>
      </w:r>
    </w:p>
    <w:p w:rsidR="00C34AE9" w:rsidRDefault="00AD155F">
      <w:pPr>
        <w:pStyle w:val="Textbody"/>
        <w:numPr>
          <w:ilvl w:val="0"/>
          <w:numId w:val="43"/>
        </w:numPr>
        <w:spacing w:line="300" w:lineRule="auto"/>
        <w:ind w:left="0" w:firstLine="709"/>
      </w:pPr>
      <w:r>
        <w:rPr>
          <w:sz w:val="28"/>
          <w:szCs w:val="28"/>
        </w:rPr>
        <w:t xml:space="preserve">Регуляр-91 </w:t>
      </w:r>
      <w:hyperlink r:id="rId10" w:history="1">
        <w:r>
          <w:t>(ГОСТ Р 51105-97)</w:t>
        </w:r>
      </w:hyperlink>
      <w:r>
        <w:rPr>
          <w:sz w:val="28"/>
          <w:szCs w:val="28"/>
        </w:rPr>
        <w:t>;</w:t>
      </w:r>
    </w:p>
    <w:p w:rsidR="00C34AE9" w:rsidRDefault="00AD155F">
      <w:pPr>
        <w:pStyle w:val="Textbody"/>
        <w:numPr>
          <w:ilvl w:val="0"/>
          <w:numId w:val="43"/>
        </w:numPr>
        <w:spacing w:line="300" w:lineRule="auto"/>
        <w:ind w:left="0" w:firstLine="709"/>
      </w:pPr>
      <w:r>
        <w:rPr>
          <w:sz w:val="28"/>
          <w:szCs w:val="28"/>
        </w:rPr>
        <w:t xml:space="preserve">Премиум-95 </w:t>
      </w:r>
      <w:hyperlink r:id="rId11" w:history="1">
        <w:r>
          <w:t>(ГОСТ Р 51105-97)</w:t>
        </w:r>
      </w:hyperlink>
      <w:r>
        <w:rPr>
          <w:sz w:val="28"/>
          <w:szCs w:val="28"/>
        </w:rPr>
        <w:t>;</w:t>
      </w:r>
    </w:p>
    <w:p w:rsidR="00C34AE9" w:rsidRDefault="00AD155F">
      <w:pPr>
        <w:pStyle w:val="Textbody"/>
        <w:numPr>
          <w:ilvl w:val="0"/>
          <w:numId w:val="43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АИ-96 (ТУ 38.001165-2003);</w:t>
      </w:r>
    </w:p>
    <w:p w:rsidR="00C34AE9" w:rsidRDefault="00AD155F">
      <w:pPr>
        <w:pStyle w:val="Textbody"/>
        <w:numPr>
          <w:ilvl w:val="0"/>
          <w:numId w:val="43"/>
        </w:numPr>
        <w:spacing w:line="300" w:lineRule="auto"/>
        <w:ind w:left="0" w:firstLine="709"/>
      </w:pPr>
      <w:r>
        <w:rPr>
          <w:sz w:val="28"/>
          <w:szCs w:val="28"/>
        </w:rPr>
        <w:t xml:space="preserve">Супер-98 </w:t>
      </w:r>
      <w:hyperlink r:id="rId12" w:history="1">
        <w:r>
          <w:t xml:space="preserve">(ГОСТ </w:t>
        </w:r>
        <w:r>
          <w:t>Р 51105-97)</w:t>
        </w:r>
      </w:hyperlink>
      <w:r>
        <w:rPr>
          <w:sz w:val="28"/>
          <w:szCs w:val="28"/>
        </w:rPr>
        <w:t>;</w:t>
      </w:r>
    </w:p>
    <w:p w:rsidR="00C34AE9" w:rsidRDefault="00AD155F">
      <w:pPr>
        <w:pStyle w:val="Textbody"/>
        <w:numPr>
          <w:ilvl w:val="0"/>
          <w:numId w:val="43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Премиум Евро-95 и Супер Евро-98 (ГОСТ Р 51866-2002);</w:t>
      </w:r>
    </w:p>
    <w:p w:rsidR="00C34AE9" w:rsidRDefault="00AD155F">
      <w:pPr>
        <w:pStyle w:val="Textbody"/>
        <w:numPr>
          <w:ilvl w:val="0"/>
          <w:numId w:val="43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Регуляр Евро-92 (ГОСТ Р 51866-2002) и другие.</w:t>
      </w:r>
    </w:p>
    <w:p w:rsidR="00C34AE9" w:rsidRDefault="00AD155F">
      <w:pPr>
        <w:pStyle w:val="Textbody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Спецификация топлива, которое допустимо применять в конкретных бензиновых двигателях, определяется производителем двигателей. В технических пасп</w:t>
      </w:r>
      <w:r>
        <w:rPr>
          <w:sz w:val="28"/>
          <w:szCs w:val="28"/>
        </w:rPr>
        <w:t>ортах (инструкциях по эксплуатации) автомобилей приводятся физико-химические эксплуатационные показатели бензинов, исходя из которых, пользователь автомобиля определяет соответствующую марку бензина для использования в качестве моторного топлива.</w:t>
      </w:r>
    </w:p>
    <w:p w:rsidR="00C34AE9" w:rsidRDefault="00AD155F">
      <w:pPr>
        <w:pStyle w:val="Textbody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практи</w:t>
      </w:r>
      <w:r>
        <w:rPr>
          <w:sz w:val="28"/>
          <w:szCs w:val="28"/>
        </w:rPr>
        <w:t>ке единственным существенным показателем, классифицирующим автомобильные бензины, является октановое число моторного топлива (далее – ОЧ). По ОЧ автомобильные бензины разделяются на две подгруппы, что и является существенным различием:</w:t>
      </w:r>
    </w:p>
    <w:p w:rsidR="00C34AE9" w:rsidRDefault="00AD155F">
      <w:pPr>
        <w:pStyle w:val="Textbody"/>
        <w:numPr>
          <w:ilvl w:val="0"/>
          <w:numId w:val="44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низкооктановые бензи</w:t>
      </w:r>
      <w:r>
        <w:rPr>
          <w:sz w:val="28"/>
          <w:szCs w:val="28"/>
        </w:rPr>
        <w:t>ны – А-76, АИ-80, Нормаль-80 (ОЧ 76,0 по моторному методу и 80,0 по исследовательскому методу);</w:t>
      </w:r>
    </w:p>
    <w:p w:rsidR="00C34AE9" w:rsidRDefault="00AD155F">
      <w:pPr>
        <w:pStyle w:val="Textbody"/>
        <w:numPr>
          <w:ilvl w:val="0"/>
          <w:numId w:val="44"/>
        </w:numPr>
        <w:spacing w:line="300" w:lineRule="auto"/>
        <w:ind w:left="0" w:firstLine="709"/>
      </w:pPr>
      <w:r>
        <w:rPr>
          <w:sz w:val="28"/>
          <w:szCs w:val="28"/>
        </w:rPr>
        <w:t xml:space="preserve">высокооктановые бензины – </w:t>
      </w:r>
      <w:r>
        <w:rPr>
          <w:sz w:val="28"/>
          <w:szCs w:val="28"/>
        </w:rPr>
        <w:t>Регуляр-91, АИ-92, АИ-96, Супер-98, Премиум Евро-95, Супер Евро-98, Регуляр Евро-92 и другие (ОЧ 82,5 – 88 по моторному методу, 91 - 9</w:t>
      </w:r>
      <w:r>
        <w:rPr>
          <w:sz w:val="28"/>
          <w:szCs w:val="28"/>
        </w:rPr>
        <w:t xml:space="preserve">8 по </w:t>
      </w:r>
      <w:r>
        <w:rPr>
          <w:sz w:val="28"/>
          <w:szCs w:val="28"/>
        </w:rPr>
        <w:t>исследовательскому методу</w:t>
      </w:r>
      <w:r>
        <w:rPr>
          <w:sz w:val="28"/>
          <w:szCs w:val="28"/>
        </w:rPr>
        <w:t>).</w:t>
      </w:r>
    </w:p>
    <w:p w:rsidR="00C34AE9" w:rsidRDefault="00AD155F">
      <w:pPr>
        <w:pStyle w:val="Textbody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исходя из дифференциации по функциональному назначению, применению, качественным и техническим характеристикам в целях исследования розничных рынков автомобильных бензинов можно выделить следующие товары:</w:t>
      </w:r>
    </w:p>
    <w:p w:rsidR="00C34AE9" w:rsidRDefault="00AD155F">
      <w:pPr>
        <w:pStyle w:val="Textbody"/>
        <w:spacing w:line="300" w:lineRule="auto"/>
        <w:ind w:firstLine="709"/>
        <w:jc w:val="right"/>
        <w:rPr>
          <w:i/>
          <w:iCs/>
          <w:szCs w:val="24"/>
        </w:rPr>
      </w:pPr>
      <w:r>
        <w:rPr>
          <w:i/>
          <w:iCs/>
          <w:szCs w:val="24"/>
        </w:rPr>
        <w:t>Таб</w:t>
      </w:r>
      <w:r>
        <w:rPr>
          <w:i/>
          <w:iCs/>
          <w:szCs w:val="24"/>
        </w:rPr>
        <w:t>лица 1. Марки автомобильных бензинов</w:t>
      </w:r>
    </w:p>
    <w:tbl>
      <w:tblPr>
        <w:tblW w:w="14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2460"/>
        <w:gridCol w:w="2655"/>
        <w:gridCol w:w="6510"/>
      </w:tblGrid>
      <w:tr w:rsidR="00C34AE9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53" w:righ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товаров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9" w:righ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товаров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9" w:right="-55" w:firstLin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Товары (марки)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08"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Октановое число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53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бензины</w:t>
            </w:r>
          </w:p>
          <w:p w:rsidR="00C34AE9" w:rsidRDefault="00AD155F">
            <w:pPr>
              <w:pStyle w:val="Standard"/>
              <w:ind w:left="-53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(ОКП 02 5110)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9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Низкооктановые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9" w:right="-55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А-76 (АИ-80)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08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 по моторному методу и 80,0 по исследовательскому методу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9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Высокооктановые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9" w:right="-55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АИ-92 </w:t>
            </w:r>
            <w:r>
              <w:rPr>
                <w:sz w:val="24"/>
                <w:szCs w:val="24"/>
              </w:rPr>
              <w:t>(АИ-91, АИ-93)</w:t>
            </w:r>
          </w:p>
        </w:tc>
        <w:tc>
          <w:tcPr>
            <w:tcW w:w="6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08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 – 88 по моторному методу, 91 - 98 по исследовательскому методу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9" w:right="-55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 (АИ-96)</w:t>
            </w: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ind w:left="-19" w:right="-55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АИ-98</w:t>
            </w: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</w:tr>
    </w:tbl>
    <w:p w:rsidR="00C34AE9" w:rsidRDefault="00C34AE9">
      <w:pPr>
        <w:pStyle w:val="Standard"/>
        <w:jc w:val="both"/>
        <w:rPr>
          <w:sz w:val="28"/>
          <w:szCs w:val="28"/>
        </w:rPr>
      </w:pPr>
    </w:p>
    <w:p w:rsidR="00C34AE9" w:rsidRDefault="00AD155F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специфики розничного потребления автомобильных бензинов (не взаимозаменяемость марки автомобильного бензина при потреблении в сторону</w:t>
      </w:r>
      <w:r>
        <w:rPr>
          <w:sz w:val="28"/>
          <w:szCs w:val="28"/>
        </w:rPr>
        <w:t xml:space="preserve"> снижения октанового числа, так как использование моторного топлива с октановым числом ниже заявленного в техническом паспорте (инструкции по эксплуатации) автомобиля, ведет к несвоевременному сгоранию топлива, снижению мощности, износу двигателя и другим </w:t>
      </w:r>
      <w:r>
        <w:rPr>
          <w:sz w:val="28"/>
          <w:szCs w:val="28"/>
        </w:rPr>
        <w:t>негативным последствиям для владельца автотранспортного средства) продуктовые границы данных товаров рассмотрены по маркам автомобильных бензинов, реализуемые на территории Чукотского автономного округа:</w:t>
      </w:r>
    </w:p>
    <w:p w:rsidR="00C34AE9" w:rsidRDefault="00AD155F">
      <w:pPr>
        <w:pStyle w:val="Standard"/>
        <w:numPr>
          <w:ilvl w:val="0"/>
          <w:numId w:val="45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А-76 (АИ-80);</w:t>
      </w:r>
    </w:p>
    <w:p w:rsidR="00C34AE9" w:rsidRDefault="00AD155F">
      <w:pPr>
        <w:pStyle w:val="Standard"/>
        <w:numPr>
          <w:ilvl w:val="0"/>
          <w:numId w:val="45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АИ-92;</w:t>
      </w:r>
    </w:p>
    <w:p w:rsidR="00C34AE9" w:rsidRDefault="00AD155F">
      <w:pPr>
        <w:pStyle w:val="Standard"/>
        <w:numPr>
          <w:ilvl w:val="0"/>
          <w:numId w:val="45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АИ-95.</w:t>
      </w:r>
    </w:p>
    <w:p w:rsidR="00C34AE9" w:rsidRDefault="00AD155F">
      <w:pPr>
        <w:pStyle w:val="Standard"/>
        <w:autoSpaceDE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целях </w:t>
      </w:r>
      <w:r>
        <w:rPr>
          <w:sz w:val="28"/>
          <w:szCs w:val="28"/>
        </w:rPr>
        <w:t>исключения взаимозаменяемости автомобильных бензинов и газового топлива следует отметить, что для работы автомобиля на сжиженном газе необходима специальная газобаллонная установка. К существенным недостаткам газобаллонных автомобилей можно отнести уменьше</w:t>
      </w:r>
      <w:r>
        <w:rPr>
          <w:sz w:val="28"/>
          <w:szCs w:val="28"/>
        </w:rPr>
        <w:t>ние грузоподъемности автомобиля и  повышение его пожароопасности. Нельзя не учитывать тот факт, что расположение газовых заправочных станций носит локализованный характер и на территории Чукотского автономного округа отсутствует возможность заправки данным</w:t>
      </w:r>
      <w:r>
        <w:rPr>
          <w:sz w:val="28"/>
          <w:szCs w:val="28"/>
        </w:rPr>
        <w:t xml:space="preserve"> видом топлива.</w:t>
      </w:r>
    </w:p>
    <w:p w:rsidR="00C34AE9" w:rsidRDefault="00AD155F">
      <w:pPr>
        <w:pStyle w:val="a9"/>
        <w:spacing w:before="240" w:line="30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географических границ рынка</w:t>
      </w:r>
    </w:p>
    <w:p w:rsidR="00C34AE9" w:rsidRDefault="00AD155F">
      <w:pPr>
        <w:pStyle w:val="a9"/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географических границ товарного рынка оценивалась экономическая возможность приобретения автомобильного топлива потребителем.</w:t>
      </w:r>
    </w:p>
    <w:p w:rsidR="00C34AE9" w:rsidRDefault="00AD155F">
      <w:pPr>
        <w:pStyle w:val="a9"/>
        <w:spacing w:before="0" w:after="0" w:line="300" w:lineRule="auto"/>
        <w:ind w:firstLine="709"/>
        <w:jc w:val="right"/>
        <w:rPr>
          <w:i/>
          <w:iCs/>
        </w:rPr>
      </w:pPr>
      <w:r>
        <w:rPr>
          <w:i/>
          <w:iCs/>
        </w:rPr>
        <w:t>Таблица №1. Муниципальные районы и населенные пункты Чукот</w:t>
      </w:r>
      <w:r>
        <w:rPr>
          <w:i/>
          <w:iCs/>
        </w:rPr>
        <w:t>ского автономного округа</w:t>
      </w:r>
    </w:p>
    <w:tbl>
      <w:tblPr>
        <w:tblW w:w="1456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1485"/>
        <w:gridCol w:w="3780"/>
        <w:gridCol w:w="8864"/>
      </w:tblGrid>
      <w:tr w:rsidR="00C34A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8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и сельские поселения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Анадырь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Анадырь, сельское поселение Тавайваам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поселение: </w:t>
            </w:r>
            <w:r>
              <w:rPr>
                <w:sz w:val="24"/>
                <w:szCs w:val="24"/>
              </w:rPr>
              <w:t>Угольные Копи, Беринговский, сельское поселение: Канчалан, Ваеги, Ламутское, Марково, Снежное, Усть-Белая, Чуванское, Алькатваам, Мейныпильгыно,Хатырка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Билибинский муниципальный район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поселение: Билибино, сельское поселение: Анюйск, Илирней, </w:t>
            </w:r>
            <w:r>
              <w:rPr>
                <w:sz w:val="24"/>
                <w:szCs w:val="24"/>
              </w:rPr>
              <w:t>Омолон, Островное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Певек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поселение: Певек, сельское поселение: Рыткучи, Айон, Биллингс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Провидения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поселение: пгт Провидения, сельское поселение: Новое Чаплино, Нунлигран, Сиреники, Энмелен, </w:t>
            </w:r>
            <w:r>
              <w:rPr>
                <w:sz w:val="24"/>
                <w:szCs w:val="24"/>
              </w:rPr>
              <w:t>Янракыннот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Чукотский муниципальный район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поселение: Инчоун, Лаврентия, Лорино, Нешкан, Уэлен, Энурмино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Эгвекинот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поселение: пгт Эгвекинот, Мыс Шмидта, сельское поселение: Амгуэма, Ванкарем, Конергино, Нутэпэльмен,</w:t>
            </w:r>
            <w:r>
              <w:rPr>
                <w:sz w:val="24"/>
                <w:szCs w:val="24"/>
              </w:rPr>
              <w:t xml:space="preserve"> Рыркайпий, Уэлькаль</w:t>
            </w:r>
          </w:p>
        </w:tc>
      </w:tr>
    </w:tbl>
    <w:p w:rsidR="00C34AE9" w:rsidRDefault="00AD155F">
      <w:pPr>
        <w:pStyle w:val="TableContents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4AE9" w:rsidRDefault="00AD155F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территориальной фиксированности автозаправочных станций (далее – АЗС), основными ограничениями экономической возможности приобретения автомобильных бензинов потребителем являются расположение АЗС, </w:t>
      </w:r>
      <w:r>
        <w:rPr>
          <w:sz w:val="28"/>
          <w:szCs w:val="28"/>
        </w:rPr>
        <w:lastRenderedPageBreak/>
        <w:t xml:space="preserve">расстояние до АЗС, </w:t>
      </w:r>
      <w:r>
        <w:rPr>
          <w:sz w:val="28"/>
          <w:szCs w:val="28"/>
        </w:rPr>
        <w:t>маршрут следования до АЗС и транспортные расходы, связанные с поиском и приобретением автомобильных бензинов.</w:t>
      </w:r>
    </w:p>
    <w:p w:rsidR="00C34AE9" w:rsidRDefault="00AD155F">
      <w:pPr>
        <w:pStyle w:val="a9"/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анализа географическими границами данного рынка приняты географические границы Чукотского автономного округа.  </w:t>
      </w:r>
    </w:p>
    <w:p w:rsidR="00C34AE9" w:rsidRDefault="00AD155F">
      <w:pPr>
        <w:pStyle w:val="a9"/>
        <w:spacing w:before="240"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сост</w:t>
      </w:r>
      <w:r>
        <w:rPr>
          <w:b/>
          <w:bCs/>
          <w:sz w:val="28"/>
          <w:szCs w:val="28"/>
        </w:rPr>
        <w:t>ава хозяйствующих субъектов, действующих на рынке</w:t>
      </w:r>
    </w:p>
    <w:p w:rsidR="00C34AE9" w:rsidRDefault="00AD155F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Продавцами на розничных рынках автомобильных бензинов являются хозяйствующие субъекты, осуществляющие деятельность по розничной торговле автомобильными бензинами на АЗС единичным количеством товара (автомоб</w:t>
      </w:r>
      <w:r>
        <w:rPr>
          <w:sz w:val="28"/>
          <w:szCs w:val="28"/>
        </w:rPr>
        <w:t>ильного бензина) преимущественно для личного использования.</w:t>
      </w:r>
    </w:p>
    <w:p w:rsidR="00C34AE9" w:rsidRDefault="00AD155F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на розничных рынках автомобильных бензинов являются физические и юридические лица, приобретающие автомобильные бензины единичного количества преимущественно для личного использования.</w:t>
      </w:r>
    </w:p>
    <w:p w:rsidR="00C34AE9" w:rsidRDefault="00AD155F">
      <w:pPr>
        <w:pStyle w:val="a9"/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были проанализированы данные хозяйствующие субъекты на принадлежность к группе лиц по признакам указанных в статье 9 Закона о защите конкуренции.</w:t>
      </w:r>
    </w:p>
    <w:p w:rsidR="00C34AE9" w:rsidRDefault="00AD155F">
      <w:pPr>
        <w:pStyle w:val="Textbody"/>
        <w:jc w:val="right"/>
        <w:rPr>
          <w:i/>
          <w:szCs w:val="24"/>
        </w:rPr>
      </w:pPr>
      <w:r>
        <w:rPr>
          <w:i/>
          <w:szCs w:val="24"/>
        </w:rPr>
        <w:t>Таблица 2. Перечень хозяйствующих субъектов,осуществляющие</w:t>
      </w:r>
    </w:p>
    <w:p w:rsidR="00C34AE9" w:rsidRDefault="00AD155F">
      <w:pPr>
        <w:pStyle w:val="Textbody"/>
        <w:spacing w:after="113"/>
        <w:jc w:val="right"/>
        <w:rPr>
          <w:i/>
          <w:szCs w:val="24"/>
        </w:rPr>
      </w:pPr>
      <w:r>
        <w:rPr>
          <w:i/>
          <w:szCs w:val="24"/>
        </w:rPr>
        <w:t>деятельность по розничной торговле дизельно</w:t>
      </w:r>
      <w:r>
        <w:rPr>
          <w:i/>
          <w:szCs w:val="24"/>
        </w:rPr>
        <w:t>го топлива</w:t>
      </w:r>
    </w:p>
    <w:tbl>
      <w:tblPr>
        <w:tblW w:w="1452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32"/>
        <w:gridCol w:w="3120"/>
        <w:gridCol w:w="5701"/>
      </w:tblGrid>
      <w:tr w:rsidR="00C34AE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 xml:space="preserve"> № п/п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Полное наименование (организационно-правовая форма)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Юридический адрес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Принадлежность к группе лиц (независимый)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3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4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Непубличное акционерное общество «Чукотская торговая компания» (</w:t>
            </w:r>
            <w:r>
              <w:rPr>
                <w:rFonts w:ascii="TimesNewRomanPSMT" w:eastAsia="TimesNewRomanPSMT" w:hAnsi="TimesNewRomanPSMT" w:cs="TimesNewRomanPSMT"/>
              </w:rPr>
              <w:t>ИНН/КПП 8704000668/870401001, ОГРН 1028700589807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689202, Чукотский АО, пгт. Эгвекинот, ул. Ленина, д. 12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 xml:space="preserve">НАО «Иультинторг» (ИНН </w:t>
            </w:r>
            <w:r>
              <w:rPr>
                <w:rFonts w:ascii="TimesNewRomanPSMT" w:eastAsia="TimesNewRomanPSMT" w:hAnsi="TimesNewRomanPSMT" w:cs="TimesNewRomanPSMT"/>
              </w:rPr>
              <w:t>8704000280</w:t>
            </w:r>
            <w:r>
              <w:t>)</w:t>
            </w:r>
          </w:p>
          <w:p w:rsidR="00C34AE9" w:rsidRDefault="00AD155F">
            <w:pPr>
              <w:pStyle w:val="a9"/>
              <w:spacing w:before="0" w:after="0"/>
              <w:jc w:val="center"/>
            </w:pPr>
            <w:r>
              <w:t xml:space="preserve">ООО «Альбатрос» (ИНН </w:t>
            </w:r>
            <w:r>
              <w:rPr>
                <w:rFonts w:ascii="TimesNewRomanPSMT" w:eastAsia="TimesNewRomanPSMT" w:hAnsi="TimesNewRomanPSMT" w:cs="TimesNewRomanPSMT"/>
              </w:rPr>
              <w:t>8704000040</w:t>
            </w:r>
            <w:r>
              <w:t>)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2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 Чукотского автономного округа «Чукотснаб» (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ИНН/КПП 8709008156/870901001, ОГРН 1028700587035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 xml:space="preserve">689000, </w:t>
            </w:r>
            <w:r>
              <w:t>Чукотский АО, г. Анадырь, ул. Южная, д. 4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 xml:space="preserve">ООО «ЧУКОТАЭРОСБЫТ» (ИНН </w:t>
            </w:r>
            <w:r>
              <w:t xml:space="preserve">8709014664 </w:t>
            </w:r>
            <w:r>
              <w:t>)</w:t>
            </w:r>
          </w:p>
          <w:p w:rsidR="00C34AE9" w:rsidRDefault="00AD155F">
            <w:pPr>
              <w:pStyle w:val="a9"/>
              <w:spacing w:before="0" w:after="0"/>
              <w:jc w:val="center"/>
            </w:pPr>
            <w:r>
              <w:t xml:space="preserve">ООО «ЧУКОТКА-ЛИЗИНГ» (ИНН </w:t>
            </w:r>
            <w:r>
              <w:t xml:space="preserve">8709014738 </w:t>
            </w:r>
            <w:r>
              <w:t>)</w:t>
            </w:r>
          </w:p>
          <w:p w:rsidR="00C34AE9" w:rsidRDefault="00AD155F">
            <w:pPr>
              <w:pStyle w:val="a9"/>
              <w:spacing w:before="0" w:after="0"/>
              <w:jc w:val="center"/>
            </w:pPr>
            <w:r>
              <w:t xml:space="preserve">ООО «Сибнефть-Чукотка» (ИНН </w:t>
            </w:r>
            <w:r>
              <w:t xml:space="preserve">8700000346 </w:t>
            </w:r>
            <w:r>
              <w:t>)</w:t>
            </w:r>
          </w:p>
          <w:p w:rsidR="00C34AE9" w:rsidRDefault="00AD155F">
            <w:pPr>
              <w:pStyle w:val="a9"/>
              <w:spacing w:before="0" w:after="0"/>
              <w:jc w:val="center"/>
            </w:pPr>
            <w:r>
              <w:t>ОАО «Шахта «Нагорная» (ИНН 8702001419)</w:t>
            </w:r>
          </w:p>
        </w:tc>
      </w:tr>
    </w:tbl>
    <w:p w:rsidR="00C34AE9" w:rsidRDefault="00C34AE9">
      <w:pPr>
        <w:pStyle w:val="a9"/>
        <w:spacing w:before="0" w:after="0" w:line="300" w:lineRule="auto"/>
        <w:ind w:firstLine="709"/>
        <w:jc w:val="both"/>
      </w:pPr>
    </w:p>
    <w:p w:rsidR="00C34AE9" w:rsidRDefault="00AD155F">
      <w:pPr>
        <w:pStyle w:val="a9"/>
        <w:spacing w:before="113" w:after="113"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товарного рынка и доли хозяйствующих субъектов на</w:t>
      </w:r>
      <w:r>
        <w:rPr>
          <w:b/>
          <w:bCs/>
          <w:sz w:val="28"/>
          <w:szCs w:val="28"/>
        </w:rPr>
        <w:t xml:space="preserve"> товарном рынке</w:t>
      </w:r>
    </w:p>
    <w:p w:rsidR="00C34AE9" w:rsidRDefault="00AD155F">
      <w:pPr>
        <w:pStyle w:val="Standard"/>
        <w:spacing w:line="360" w:lineRule="auto"/>
        <w:ind w:firstLine="709"/>
        <w:jc w:val="both"/>
        <w:outlineLvl w:val="1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Основным показателем для расчета объема товарного рынка и долей хозяйствующих субъектов за исследуемый период времени в продуктовых и географических границах розничного рынка автомобильного топлива Чукотского автономного округа и долей </w:t>
      </w:r>
      <w:r>
        <w:rPr>
          <w:color w:val="00000A"/>
          <w:sz w:val="28"/>
          <w:szCs w:val="28"/>
        </w:rPr>
        <w:t>хозяйствующих субъектов на рынке является показатель объема продаж (поставок) в натуральном выражении (литр).</w:t>
      </w:r>
    </w:p>
    <w:p w:rsidR="00C34AE9" w:rsidRDefault="00AD155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 пересчета тонны в литры:</w:t>
      </w:r>
    </w:p>
    <w:p w:rsidR="00C34AE9" w:rsidRDefault="00C34AE9">
      <w:pPr>
        <w:pStyle w:val="Standard"/>
        <w:spacing w:after="113"/>
        <w:ind w:firstLine="709"/>
        <w:jc w:val="right"/>
        <w:rPr>
          <w:i/>
          <w:iCs/>
          <w:sz w:val="24"/>
          <w:szCs w:val="24"/>
        </w:rPr>
      </w:pPr>
    </w:p>
    <w:p w:rsidR="00C34AE9" w:rsidRDefault="00AD155F">
      <w:pPr>
        <w:pStyle w:val="Standard"/>
        <w:spacing w:after="113"/>
        <w:ind w:firstLine="709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3. Коэффициент перерасчета автомобильного топлива</w:t>
      </w: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7260"/>
      </w:tblGrid>
      <w:tr w:rsidR="00C34AE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бензина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А-7</w:t>
            </w:r>
            <w:r>
              <w:rPr>
                <w:sz w:val="24"/>
                <w:szCs w:val="24"/>
              </w:rPr>
              <w:t>6 (АИ-80)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0,715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0,735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</w:tr>
    </w:tbl>
    <w:p w:rsidR="00C34AE9" w:rsidRDefault="00C34AE9">
      <w:pPr>
        <w:pStyle w:val="Standard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</w:p>
    <w:p w:rsidR="00C34AE9" w:rsidRDefault="00AD155F">
      <w:pPr>
        <w:pStyle w:val="Standard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хозяйствующего субъекта на розничном рынке автомобильных бензинов рассчитывается как выраженное в процентах отношение показателя, характеризующего объем товарной массы, реализуемой данным хозяйствующим </w:t>
      </w:r>
      <w:r>
        <w:rPr>
          <w:color w:val="000000"/>
          <w:sz w:val="28"/>
          <w:szCs w:val="28"/>
        </w:rPr>
        <w:t>субъектом на исследуемый товарный рынок, к показателю, характеризующему объем рассматриваемого товарного рынка.</w:t>
      </w:r>
    </w:p>
    <w:p w:rsidR="00C34AE9" w:rsidRDefault="00AD155F">
      <w:pPr>
        <w:pStyle w:val="Standard"/>
        <w:spacing w:after="113" w:line="300" w:lineRule="auto"/>
        <w:ind w:firstLine="709"/>
        <w:jc w:val="right"/>
        <w:outlineLvl w:val="1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Таблица 4. Доля на розничном рынке автомобильного топлива</w:t>
      </w:r>
    </w:p>
    <w:tbl>
      <w:tblPr>
        <w:tblW w:w="145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716"/>
        <w:gridCol w:w="3765"/>
        <w:gridCol w:w="839"/>
        <w:gridCol w:w="1005"/>
        <w:gridCol w:w="1275"/>
        <w:gridCol w:w="1050"/>
        <w:gridCol w:w="1305"/>
        <w:gridCol w:w="1035"/>
        <w:gridCol w:w="1261"/>
      </w:tblGrid>
      <w:tr w:rsidR="00C34AE9">
        <w:tblPrEx>
          <w:tblCellMar>
            <w:top w:w="0" w:type="dxa"/>
            <w:bottom w:w="0" w:type="dxa"/>
          </w:tblCellMar>
        </w:tblPrEx>
        <w:tc>
          <w:tcPr>
            <w:tcW w:w="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границы розничного рынка дизельного топлива</w:t>
            </w:r>
          </w:p>
        </w:tc>
        <w:tc>
          <w:tcPr>
            <w:tcW w:w="3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субъекта, осуществляющего деятельность по розничной торговле моторным топливом</w:t>
            </w: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АЗС, шт.</w:t>
            </w:r>
          </w:p>
        </w:tc>
        <w:tc>
          <w:tcPr>
            <w:tcW w:w="69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Автомобильное топливо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2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3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22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А-76 (АИ-80)</w:t>
            </w:r>
          </w:p>
        </w:tc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</w:tc>
        <w:tc>
          <w:tcPr>
            <w:tcW w:w="22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2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3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D155F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 (литр)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 розничном рынке дизельного топлива, %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реализации (литр)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 розничном рынке дизельного топлива, %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 (литр)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 розничном рынке дизельного топлива, %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 xml:space="preserve">Чукотский район, Провиденский район, Иультинский район </w:t>
            </w:r>
            <w:r>
              <w:lastRenderedPageBreak/>
              <w:t>Чукотского автономного округа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lastRenderedPageBreak/>
              <w:t xml:space="preserve">Непубличное акционерное общество </w:t>
            </w:r>
            <w:r>
              <w:t>«Чукотская торговая компания» (</w:t>
            </w:r>
            <w:r>
              <w:rPr>
                <w:rFonts w:ascii="TimesNewRomanPSMT" w:eastAsia="TimesNewRomanPSMT" w:hAnsi="TimesNewRomanPSMT" w:cs="TimesNewRomanPSMT"/>
              </w:rPr>
              <w:t xml:space="preserve">ИНН/КПП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8704000668/870401001, ОГРН 1028700589807</w:t>
            </w:r>
            <w:r>
              <w:t>)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190,69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Анадырь, Анадырский район, Билибинский район, Чаунский район Чукотского автономного округа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</w:t>
            </w:r>
            <w:r>
              <w:rPr>
                <w:sz w:val="24"/>
                <w:szCs w:val="24"/>
              </w:rPr>
              <w:t xml:space="preserve"> Чукотского автономного округа «Чукотснаб» (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ИНН/КПП 8709008156/870901001, ОГРН 1028700587035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2 237,51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208,21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2 428,20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229,49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AD155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34AE9" w:rsidRDefault="00AD155F">
      <w:pPr>
        <w:pStyle w:val="Textbody"/>
        <w:spacing w:line="30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По полученны</w:t>
      </w:r>
      <w:r>
        <w:rPr>
          <w:sz w:val="28"/>
          <w:szCs w:val="28"/>
        </w:rPr>
        <w:t xml:space="preserve">м результатам можно сделать вывод о том, что на данном </w:t>
      </w:r>
      <w:r>
        <w:rPr>
          <w:sz w:val="28"/>
          <w:szCs w:val="28"/>
        </w:rPr>
        <w:t>товарном рынке на территории Чукотского автономного округа действуют 2 (два) хозяйствующих субъекта, осуществляющих розничную торговлю автомобильного топлива.</w:t>
      </w:r>
    </w:p>
    <w:p w:rsidR="00C34AE9" w:rsidRDefault="00AD155F">
      <w:pPr>
        <w:pStyle w:val="Textbody"/>
        <w:spacing w:line="300" w:lineRule="auto"/>
        <w:ind w:firstLine="709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Деятельность хозяйствующих субъектов, осуществляющие розничную торговлю автомобильным топливом, </w:t>
      </w:r>
      <w:r>
        <w:rPr>
          <w:color w:val="00000A"/>
          <w:sz w:val="28"/>
          <w:szCs w:val="28"/>
        </w:rPr>
        <w:t>относится к неконкурентной сфере, так как действуют в разных муниципальных районах Чукотского автономного округа. Доля хозяйствующего субъекта на данном товарном рынке на каждой конкретной территории всегда будет 100%.</w:t>
      </w:r>
    </w:p>
    <w:p w:rsidR="00C34AE9" w:rsidRDefault="00AD155F">
      <w:pPr>
        <w:pStyle w:val="Textbody"/>
        <w:spacing w:before="113" w:after="113" w:line="30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барьеров входа на рынок</w:t>
      </w:r>
    </w:p>
    <w:p w:rsidR="00C34AE9" w:rsidRDefault="00AD155F">
      <w:pPr>
        <w:pStyle w:val="Textbody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барьерам входа на мелкооптовый рынок дизельного топлива следует отнести, в том числе:</w:t>
      </w:r>
    </w:p>
    <w:p w:rsidR="00C34AE9" w:rsidRDefault="00AD155F">
      <w:pPr>
        <w:pStyle w:val="Textbody"/>
        <w:numPr>
          <w:ilvl w:val="0"/>
          <w:numId w:val="46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C34AE9" w:rsidRDefault="00AD155F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ограничения:</w:t>
      </w:r>
    </w:p>
    <w:p w:rsidR="00C34AE9" w:rsidRDefault="00AD155F">
      <w:pPr>
        <w:pStyle w:val="Standard"/>
        <w:numPr>
          <w:ilvl w:val="0"/>
          <w:numId w:val="47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издержки выхода</w:t>
      </w:r>
      <w:r>
        <w:rPr>
          <w:sz w:val="28"/>
          <w:szCs w:val="28"/>
        </w:rPr>
        <w:t xml:space="preserve"> с рынка, включающие инвестиции, которые невозможно возместить при прекращении хозяйственной деятельности;</w:t>
      </w:r>
    </w:p>
    <w:p w:rsidR="00C34AE9" w:rsidRDefault="00AD155F">
      <w:pPr>
        <w:pStyle w:val="Standard"/>
        <w:numPr>
          <w:ilvl w:val="0"/>
          <w:numId w:val="47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ограничение;</w:t>
      </w:r>
    </w:p>
    <w:p w:rsidR="00C34AE9" w:rsidRDefault="00AD155F">
      <w:pPr>
        <w:pStyle w:val="Standard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ограничения:</w:t>
      </w:r>
    </w:p>
    <w:p w:rsidR="00C34AE9" w:rsidRDefault="00AD155F">
      <w:pPr>
        <w:pStyle w:val="Standard"/>
        <w:numPr>
          <w:ilvl w:val="0"/>
          <w:numId w:val="48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лицензирования;</w:t>
      </w:r>
    </w:p>
    <w:p w:rsidR="00C34AE9" w:rsidRDefault="00AD155F">
      <w:pPr>
        <w:pStyle w:val="Standard"/>
        <w:numPr>
          <w:ilvl w:val="0"/>
          <w:numId w:val="48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экологические ограничения;</w:t>
      </w:r>
    </w:p>
    <w:p w:rsidR="00C34AE9" w:rsidRDefault="00AD155F">
      <w:pPr>
        <w:pStyle w:val="Standard"/>
        <w:numPr>
          <w:ilvl w:val="0"/>
          <w:numId w:val="48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стандарты и предъявляемые к качеству;</w:t>
      </w:r>
    </w:p>
    <w:p w:rsidR="00C34AE9" w:rsidRDefault="00C34AE9">
      <w:pPr>
        <w:pStyle w:val="Standard"/>
        <w:spacing w:line="300" w:lineRule="auto"/>
        <w:jc w:val="both"/>
        <w:rPr>
          <w:sz w:val="28"/>
          <w:szCs w:val="28"/>
        </w:rPr>
      </w:pPr>
    </w:p>
    <w:p w:rsidR="00C34AE9" w:rsidRDefault="00AD155F">
      <w:pPr>
        <w:pStyle w:val="Textbody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</w:t>
      </w:r>
      <w:r>
        <w:rPr>
          <w:b/>
          <w:bCs/>
          <w:sz w:val="28"/>
          <w:szCs w:val="28"/>
        </w:rPr>
        <w:t>еделение уровня концентрации товарного рынка</w:t>
      </w:r>
    </w:p>
    <w:p w:rsidR="00C34AE9" w:rsidRDefault="00AD155F">
      <w:pPr>
        <w:pStyle w:val="a9"/>
        <w:spacing w:before="0" w:after="0"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определения уровня концентрации товарного рынка используются следующие показатели:</w:t>
      </w:r>
    </w:p>
    <w:p w:rsidR="00C34AE9" w:rsidRDefault="00AD155F">
      <w:pPr>
        <w:pStyle w:val="a9"/>
        <w:spacing w:before="0" w:after="0"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коэффициент рыночной концентрации (CR) - сумма долей на товарном рынке (выраженных в процентах) определенного числа (n) к</w:t>
      </w:r>
      <w:r>
        <w:rPr>
          <w:bCs/>
          <w:sz w:val="28"/>
          <w:szCs w:val="28"/>
        </w:rPr>
        <w:t>рупнейших хозяйствующих субъектов, действующих на данном рынке;</w:t>
      </w:r>
    </w:p>
    <w:p w:rsidR="00C34AE9" w:rsidRDefault="00AD155F">
      <w:pPr>
        <w:pStyle w:val="a9"/>
        <w:spacing w:before="0" w:after="0"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индекс рыночной концентрации Герфиндаля-Гиршмана (HHI) - сумма квадратов долей (выраженных в процентах) на товарном рынке всех хозяйствующих субъектов, действующих на данном рынке.</w:t>
      </w:r>
    </w:p>
    <w:p w:rsidR="00C34AE9" w:rsidRDefault="00AD155F">
      <w:pPr>
        <w:pStyle w:val="a9"/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различными значениями коэффициента рыночной концентрации и индекса рыночной концентрации Герфиндаля-Гиршмана выделяются следующие уровни концентрации товарного рынка:</w:t>
      </w:r>
    </w:p>
    <w:p w:rsidR="00C34AE9" w:rsidRDefault="00AD155F">
      <w:pPr>
        <w:pStyle w:val="Textbody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 высокий: при 70% &lt;= CR &lt;= 100% или 2000 &lt;= HHI &lt;= 10000</w:t>
      </w:r>
    </w:p>
    <w:p w:rsidR="00C34AE9" w:rsidRDefault="00AD155F">
      <w:pPr>
        <w:pStyle w:val="Textbody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 умеренный: при</w:t>
      </w:r>
      <w:r>
        <w:rPr>
          <w:sz w:val="28"/>
          <w:szCs w:val="28"/>
        </w:rPr>
        <w:t xml:space="preserve"> 45% &lt;= CR &lt;= 70% или 1000 &lt;= HHI &lt; 2000</w:t>
      </w:r>
    </w:p>
    <w:p w:rsidR="00C34AE9" w:rsidRDefault="00AD155F">
      <w:pPr>
        <w:pStyle w:val="Textbody"/>
        <w:spacing w:line="300" w:lineRule="auto"/>
        <w:rPr>
          <w:sz w:val="28"/>
          <w:szCs w:val="28"/>
        </w:rPr>
      </w:pPr>
      <w:r>
        <w:rPr>
          <w:bCs/>
          <w:sz w:val="28"/>
          <w:szCs w:val="28"/>
        </w:rPr>
        <w:t>- низкий: при CR &lt; 45% или HHI &lt; 1000.</w:t>
      </w:r>
    </w:p>
    <w:p w:rsidR="00C34AE9" w:rsidRDefault="00AD155F">
      <w:pPr>
        <w:pStyle w:val="Textbody"/>
        <w:spacing w:line="300" w:lineRule="auto"/>
        <w:jc w:val="right"/>
        <w:rPr>
          <w:i/>
          <w:iCs/>
          <w:szCs w:val="24"/>
        </w:rPr>
      </w:pPr>
      <w:r>
        <w:rPr>
          <w:i/>
          <w:iCs/>
          <w:szCs w:val="24"/>
        </w:rPr>
        <w:t>Таблица 5. Расчет уровня концентрации</w:t>
      </w:r>
    </w:p>
    <w:tbl>
      <w:tblPr>
        <w:tblW w:w="147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2809"/>
        <w:gridCol w:w="3765"/>
        <w:gridCol w:w="1920"/>
        <w:gridCol w:w="5837"/>
      </w:tblGrid>
      <w:tr w:rsidR="00C34AE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 xml:space="preserve"> №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>Границы зон деятельности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>Наименование хозяйствующего субъекта, осуществляющего услугу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>Марка автомобильного топлива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 xml:space="preserve">Уровень </w:t>
            </w:r>
            <w:r>
              <w:t>концентрации по каждому муниципальному образованию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>1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>2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C34AE9">
            <w:pPr>
              <w:pStyle w:val="a9"/>
              <w:spacing w:before="0" w:after="0" w:line="300" w:lineRule="auto"/>
              <w:jc w:val="center"/>
            </w:pP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>4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>1</w:t>
            </w:r>
          </w:p>
        </w:tc>
        <w:tc>
          <w:tcPr>
            <w:tcW w:w="2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Чукотский район,</w:t>
            </w:r>
          </w:p>
          <w:p w:rsidR="00C34AE9" w:rsidRDefault="00AD155F">
            <w:pPr>
              <w:pStyle w:val="a9"/>
              <w:spacing w:before="0" w:after="0"/>
              <w:jc w:val="center"/>
            </w:pPr>
            <w:r>
              <w:t>Провиденский район,</w:t>
            </w:r>
          </w:p>
          <w:p w:rsidR="00C34AE9" w:rsidRDefault="00AD155F">
            <w:pPr>
              <w:pStyle w:val="a9"/>
              <w:spacing w:before="0" w:after="0"/>
              <w:jc w:val="center"/>
            </w:pPr>
            <w:r>
              <w:t>Иультинский район</w:t>
            </w:r>
          </w:p>
          <w:p w:rsidR="00C34AE9" w:rsidRDefault="00AD155F">
            <w:pPr>
              <w:pStyle w:val="a9"/>
              <w:spacing w:before="0" w:after="0"/>
              <w:jc w:val="center"/>
            </w:pPr>
            <w:r>
              <w:t>Чукотского автономного округа</w:t>
            </w:r>
          </w:p>
        </w:tc>
        <w:tc>
          <w:tcPr>
            <w:tcW w:w="3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Непубличное акционерное общество «Чукотская торговая компания» (</w:t>
            </w:r>
            <w:r>
              <w:rPr>
                <w:rFonts w:ascii="TimesNewRomanPSMT" w:eastAsia="TimesNewRomanPSMT" w:hAnsi="TimesNewRomanPSMT" w:cs="TimesNewRomanPSMT"/>
              </w:rPr>
              <w:t xml:space="preserve">ИНН/КПП 8704000668/870401001, ОГРН </w:t>
            </w:r>
            <w:r>
              <w:rPr>
                <w:rFonts w:ascii="TimesNewRomanPSMT" w:eastAsia="TimesNewRomanPSMT" w:hAnsi="TimesNewRomanPSMT" w:cs="TimesNewRomanPSMT"/>
              </w:rPr>
              <w:t>1028700589807</w:t>
            </w:r>
            <w:r>
              <w:t>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А-70 (АИ-80)</w:t>
            </w:r>
          </w:p>
        </w:tc>
        <w:tc>
          <w:tcPr>
            <w:tcW w:w="5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both"/>
              <w:textAlignment w:val="center"/>
            </w:pPr>
            <w:r>
              <w:rPr>
                <w:bCs/>
                <w:lang w:val="en-US"/>
              </w:rPr>
              <w:t>CR</w:t>
            </w:r>
            <w:r w:rsidRPr="00174AB1">
              <w:t xml:space="preserve">= 100%, </w:t>
            </w:r>
            <w:r>
              <w:t xml:space="preserve">высокий — при 70% &lt;= </w:t>
            </w:r>
            <w:r>
              <w:rPr>
                <w:bCs/>
                <w:lang w:val="en-US"/>
              </w:rPr>
              <w:t>CR</w:t>
            </w:r>
            <w:r>
              <w:t xml:space="preserve"> &lt;= 100%;  </w:t>
            </w:r>
            <w:r>
              <w:rPr>
                <w:lang w:val="en-US"/>
              </w:rPr>
              <w:t>HHI</w:t>
            </w:r>
            <w:r w:rsidRPr="00174AB1">
              <w:t xml:space="preserve">=10000, </w:t>
            </w:r>
            <w:r>
              <w:t>высокий — при 2000 &lt;= HHI &lt;= 10000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2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3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АИ-92</w:t>
            </w:r>
          </w:p>
        </w:tc>
        <w:tc>
          <w:tcPr>
            <w:tcW w:w="5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2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3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АИ-95</w:t>
            </w:r>
          </w:p>
        </w:tc>
        <w:tc>
          <w:tcPr>
            <w:tcW w:w="5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center"/>
            </w:pPr>
            <w:r>
              <w:t>2</w:t>
            </w:r>
          </w:p>
        </w:tc>
        <w:tc>
          <w:tcPr>
            <w:tcW w:w="2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Анадырь,</w:t>
            </w:r>
          </w:p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Анадырский район,</w:t>
            </w:r>
          </w:p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Билибинский район,</w:t>
            </w:r>
          </w:p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Чаунский район Чукотского автономного округа</w:t>
            </w:r>
          </w:p>
        </w:tc>
        <w:tc>
          <w:tcPr>
            <w:tcW w:w="3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предприятие Чукотского автономного округа </w:t>
            </w:r>
            <w:r>
              <w:rPr>
                <w:sz w:val="24"/>
                <w:szCs w:val="24"/>
              </w:rPr>
              <w:t>«Чукотснаб» (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ИНН/КПП 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lastRenderedPageBreak/>
              <w:t>8709008156/870901001, ОГРН 1028700587035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lastRenderedPageBreak/>
              <w:t>А-70 (АИ-80)</w:t>
            </w:r>
          </w:p>
        </w:tc>
        <w:tc>
          <w:tcPr>
            <w:tcW w:w="5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 w:line="300" w:lineRule="auto"/>
              <w:jc w:val="both"/>
              <w:textAlignment w:val="center"/>
            </w:pPr>
            <w:r>
              <w:rPr>
                <w:bCs/>
                <w:lang w:val="en-US"/>
              </w:rPr>
              <w:t>CR</w:t>
            </w:r>
            <w:r w:rsidRPr="00174AB1">
              <w:t xml:space="preserve">= 100%, </w:t>
            </w:r>
            <w:r>
              <w:t xml:space="preserve">высокий — при 70% &lt;= </w:t>
            </w:r>
            <w:r>
              <w:rPr>
                <w:bCs/>
                <w:lang w:val="en-US"/>
              </w:rPr>
              <w:t>CR</w:t>
            </w:r>
            <w:r>
              <w:t xml:space="preserve"> &lt;= 100%;  </w:t>
            </w:r>
            <w:r>
              <w:rPr>
                <w:lang w:val="en-US"/>
              </w:rPr>
              <w:t>HHI</w:t>
            </w:r>
            <w:r w:rsidRPr="00174AB1">
              <w:t xml:space="preserve">=10000, </w:t>
            </w:r>
            <w:r>
              <w:t>высокий — при 2000 &lt;= HHI &lt;= 10000</w:t>
            </w:r>
          </w:p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2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3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АИ-92</w:t>
            </w:r>
          </w:p>
        </w:tc>
        <w:tc>
          <w:tcPr>
            <w:tcW w:w="5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</w:tr>
      <w:tr w:rsidR="00C3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2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3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E9" w:rsidRDefault="00AD155F">
            <w:pPr>
              <w:pStyle w:val="a9"/>
              <w:spacing w:before="0" w:after="0"/>
              <w:jc w:val="center"/>
            </w:pPr>
            <w:r>
              <w:t>АИ-95</w:t>
            </w:r>
          </w:p>
        </w:tc>
        <w:tc>
          <w:tcPr>
            <w:tcW w:w="5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155F"/>
        </w:tc>
      </w:tr>
    </w:tbl>
    <w:p w:rsidR="00C34AE9" w:rsidRDefault="00C34AE9">
      <w:pPr>
        <w:pStyle w:val="Textbody"/>
        <w:spacing w:line="300" w:lineRule="auto"/>
        <w:ind w:firstLine="709"/>
        <w:rPr>
          <w:sz w:val="28"/>
          <w:szCs w:val="28"/>
        </w:rPr>
      </w:pPr>
    </w:p>
    <w:p w:rsidR="00C34AE9" w:rsidRDefault="00AD155F">
      <w:pPr>
        <w:pStyle w:val="Textbody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Полученные значения индекса рыночной концентрации Герфиндаля-Гиршмана свидетельствуют о том, что в административных границах исследуемого розничного рынка каждого </w:t>
      </w:r>
      <w:r>
        <w:rPr>
          <w:sz w:val="28"/>
          <w:szCs w:val="28"/>
        </w:rPr>
        <w:t>хозяйствующего субъекта, осуществляющий розничную торговлю автомобильным топливом относится к типу рынков с высокой степенью концентрации.</w:t>
      </w:r>
    </w:p>
    <w:p w:rsidR="00C34AE9" w:rsidRDefault="00C34AE9">
      <w:pPr>
        <w:pStyle w:val="Textbody"/>
        <w:spacing w:before="113" w:after="113" w:line="300" w:lineRule="auto"/>
        <w:ind w:firstLine="709"/>
        <w:jc w:val="center"/>
        <w:rPr>
          <w:b/>
          <w:bCs/>
          <w:sz w:val="28"/>
          <w:szCs w:val="28"/>
        </w:rPr>
      </w:pPr>
    </w:p>
    <w:p w:rsidR="00C34AE9" w:rsidRDefault="00C34AE9">
      <w:pPr>
        <w:pStyle w:val="Textbody"/>
        <w:spacing w:before="113" w:after="113" w:line="300" w:lineRule="auto"/>
        <w:ind w:firstLine="709"/>
        <w:jc w:val="center"/>
        <w:rPr>
          <w:b/>
          <w:bCs/>
          <w:sz w:val="28"/>
          <w:szCs w:val="28"/>
        </w:rPr>
      </w:pPr>
    </w:p>
    <w:p w:rsidR="00C34AE9" w:rsidRDefault="00AD155F">
      <w:pPr>
        <w:pStyle w:val="Textbody"/>
        <w:spacing w:before="113" w:after="113" w:line="30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состояния конкурентной среды на рынке</w:t>
      </w:r>
    </w:p>
    <w:p w:rsidR="00C34AE9" w:rsidRDefault="00AD155F">
      <w:pPr>
        <w:pStyle w:val="a9"/>
        <w:numPr>
          <w:ilvl w:val="2"/>
          <w:numId w:val="49"/>
        </w:numPr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Розничный рынок автомобильного топлива на территории  Чукотского автон</w:t>
      </w:r>
      <w:r>
        <w:rPr>
          <w:sz w:val="28"/>
          <w:szCs w:val="28"/>
        </w:rPr>
        <w:t>омного округа в исследуемом периоде относится к высококонцентрированному типу с неразвитой конкуренцией;</w:t>
      </w:r>
    </w:p>
    <w:p w:rsidR="00C34AE9" w:rsidRDefault="00AD155F">
      <w:pPr>
        <w:pStyle w:val="a9"/>
        <w:numPr>
          <w:ilvl w:val="2"/>
          <w:numId w:val="49"/>
        </w:numPr>
        <w:spacing w:before="0"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в 2016 г. дела о нарушении антимонопольного законодательства на розничном рынке автомобильного топлива Чукотским УФАС России не</w:t>
      </w:r>
      <w:r>
        <w:rPr>
          <w:sz w:val="28"/>
          <w:szCs w:val="28"/>
        </w:rPr>
        <w:t xml:space="preserve"> возбуждались.</w:t>
      </w:r>
    </w:p>
    <w:p w:rsidR="00C34AE9" w:rsidRDefault="00C34AE9">
      <w:pPr>
        <w:pStyle w:val="a9"/>
        <w:spacing w:before="0" w:after="0" w:line="300" w:lineRule="auto"/>
        <w:ind w:firstLine="709"/>
        <w:jc w:val="both"/>
        <w:rPr>
          <w:sz w:val="28"/>
          <w:szCs w:val="28"/>
        </w:rPr>
      </w:pPr>
    </w:p>
    <w:p w:rsidR="00C34AE9" w:rsidRDefault="00C34AE9">
      <w:pPr>
        <w:pStyle w:val="a9"/>
        <w:spacing w:before="0" w:after="0" w:line="300" w:lineRule="auto"/>
        <w:ind w:firstLine="709"/>
        <w:jc w:val="both"/>
        <w:rPr>
          <w:sz w:val="28"/>
          <w:szCs w:val="28"/>
        </w:rPr>
      </w:pPr>
    </w:p>
    <w:p w:rsidR="00C34AE9" w:rsidRDefault="00AD155F">
      <w:pPr>
        <w:pStyle w:val="a9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— эксперт</w:t>
      </w:r>
    </w:p>
    <w:p w:rsidR="00C34AE9" w:rsidRDefault="00AD155F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Чукотского УФАС России                                                                                                                                           А.В.Пашиева</w:t>
      </w:r>
    </w:p>
    <w:sectPr w:rsidR="00C34AE9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720" w:right="1134" w:bottom="83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5F" w:rsidRDefault="00AD155F">
      <w:r>
        <w:separator/>
      </w:r>
    </w:p>
  </w:endnote>
  <w:endnote w:type="continuationSeparator" w:id="0">
    <w:p w:rsidR="00AD155F" w:rsidRDefault="00AD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85" w:rsidRDefault="00AD155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174AB1">
      <w:rPr>
        <w:noProof/>
      </w:rPr>
      <w:t>2</w:t>
    </w:r>
    <w:r>
      <w:fldChar w:fldCharType="end"/>
    </w:r>
  </w:p>
  <w:p w:rsidR="001D0285" w:rsidRDefault="00AD155F">
    <w:pPr>
      <w:pStyle w:val="a5"/>
      <w:jc w:val="both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85" w:rsidRDefault="00AD15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5F" w:rsidRDefault="00AD155F">
      <w:r>
        <w:rPr>
          <w:color w:val="000000"/>
        </w:rPr>
        <w:separator/>
      </w:r>
    </w:p>
  </w:footnote>
  <w:footnote w:type="continuationSeparator" w:id="0">
    <w:p w:rsidR="00AD155F" w:rsidRDefault="00AD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85" w:rsidRDefault="00AD155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85" w:rsidRDefault="00AD15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C76"/>
    <w:multiLevelType w:val="multilevel"/>
    <w:tmpl w:val="EC8A0090"/>
    <w:styleLink w:val="WWNum30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" w15:restartNumberingAfterBreak="0">
    <w:nsid w:val="02924144"/>
    <w:multiLevelType w:val="multilevel"/>
    <w:tmpl w:val="343410BA"/>
    <w:styleLink w:val="WWNum2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 w15:restartNumberingAfterBreak="0">
    <w:nsid w:val="0BF575E2"/>
    <w:multiLevelType w:val="multilevel"/>
    <w:tmpl w:val="6D04BC0E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5B67D2"/>
    <w:multiLevelType w:val="multilevel"/>
    <w:tmpl w:val="4CF22DCA"/>
    <w:styleLink w:val="WWNum12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" w15:restartNumberingAfterBreak="0">
    <w:nsid w:val="1F082E02"/>
    <w:multiLevelType w:val="multilevel"/>
    <w:tmpl w:val="86C00F0C"/>
    <w:styleLink w:val="WWNum25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5" w15:restartNumberingAfterBreak="0">
    <w:nsid w:val="23AA6093"/>
    <w:multiLevelType w:val="multilevel"/>
    <w:tmpl w:val="5CA0B8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6F375E3"/>
    <w:multiLevelType w:val="multilevel"/>
    <w:tmpl w:val="D3F271B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8C41A4C"/>
    <w:multiLevelType w:val="multilevel"/>
    <w:tmpl w:val="F2869C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A054714"/>
    <w:multiLevelType w:val="multilevel"/>
    <w:tmpl w:val="FAEA696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2A95503A"/>
    <w:multiLevelType w:val="multilevel"/>
    <w:tmpl w:val="0054EBB6"/>
    <w:styleLink w:val="WWNum1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2EC2126F"/>
    <w:multiLevelType w:val="multilevel"/>
    <w:tmpl w:val="DC02CE92"/>
    <w:styleLink w:val="WWNum28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1" w15:restartNumberingAfterBreak="0">
    <w:nsid w:val="310A1395"/>
    <w:multiLevelType w:val="multilevel"/>
    <w:tmpl w:val="EBB2CDF8"/>
    <w:styleLink w:val="WWNum2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2" w15:restartNumberingAfterBreak="0">
    <w:nsid w:val="36756F0C"/>
    <w:multiLevelType w:val="multilevel"/>
    <w:tmpl w:val="C0041442"/>
    <w:styleLink w:val="WW8Num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  <w:sz w:val="28"/>
        <w:szCs w:val="28"/>
      </w:rPr>
    </w:lvl>
  </w:abstractNum>
  <w:abstractNum w:abstractNumId="13" w15:restartNumberingAfterBreak="0">
    <w:nsid w:val="36A93C00"/>
    <w:multiLevelType w:val="multilevel"/>
    <w:tmpl w:val="29805FD4"/>
    <w:styleLink w:val="WWNum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74050D9"/>
    <w:multiLevelType w:val="multilevel"/>
    <w:tmpl w:val="92BA52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78242EE"/>
    <w:multiLevelType w:val="multilevel"/>
    <w:tmpl w:val="B17EA628"/>
    <w:styleLink w:val="WWNum1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8060A43"/>
    <w:multiLevelType w:val="multilevel"/>
    <w:tmpl w:val="C3A4E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96D3841"/>
    <w:multiLevelType w:val="multilevel"/>
    <w:tmpl w:val="B8AE896C"/>
    <w:styleLink w:val="WWNum27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8" w15:restartNumberingAfterBreak="0">
    <w:nsid w:val="3E7E399C"/>
    <w:multiLevelType w:val="multilevel"/>
    <w:tmpl w:val="B77CB6C2"/>
    <w:styleLink w:val="WWNum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48C02C4F"/>
    <w:multiLevelType w:val="multilevel"/>
    <w:tmpl w:val="36247E54"/>
    <w:styleLink w:val="WWNum33"/>
    <w:lvl w:ilvl="0">
      <w:start w:val="7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0" w15:restartNumberingAfterBreak="0">
    <w:nsid w:val="495C237B"/>
    <w:multiLevelType w:val="multilevel"/>
    <w:tmpl w:val="B35ECCD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4BF532D6"/>
    <w:multiLevelType w:val="multilevel"/>
    <w:tmpl w:val="DD3A90BA"/>
    <w:styleLink w:val="WWNum32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2" w15:restartNumberingAfterBreak="0">
    <w:nsid w:val="4D66768C"/>
    <w:multiLevelType w:val="multilevel"/>
    <w:tmpl w:val="591AA2F2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3" w15:restartNumberingAfterBreak="0">
    <w:nsid w:val="4DF45EA7"/>
    <w:multiLevelType w:val="multilevel"/>
    <w:tmpl w:val="101081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52890EC1"/>
    <w:multiLevelType w:val="multilevel"/>
    <w:tmpl w:val="6680DDD4"/>
    <w:styleLink w:val="WW8Num3"/>
    <w:lvl w:ilvl="0">
      <w:start w:val="3"/>
      <w:numFmt w:val="upperRoman"/>
      <w:lvlText w:val="%1."/>
      <w:lvlJc w:val="right"/>
      <w:pPr>
        <w:ind w:left="-360" w:hanging="36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ind w:left="-345" w:hanging="375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3">
      <w:start w:val="1"/>
      <w:numFmt w:val="decimal"/>
      <w:lvlText w:val="%1.%2.%3.%4"/>
      <w:lvlJc w:val="left"/>
      <w:pPr>
        <w:ind w:left="360" w:hanging="108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5">
      <w:start w:val="1"/>
      <w:numFmt w:val="decimal"/>
      <w:lvlText w:val="%1.%2.%3.%4.%5.%6"/>
      <w:lvlJc w:val="left"/>
      <w:pPr>
        <w:ind w:left="720" w:hanging="144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6">
      <w:start w:val="1"/>
      <w:numFmt w:val="decimal"/>
      <w:lvlText w:val="%1.%2.%3.%4.%5.%6.%7"/>
      <w:lvlJc w:val="left"/>
      <w:pPr>
        <w:ind w:left="720" w:hanging="144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7">
      <w:start w:val="1"/>
      <w:numFmt w:val="decimal"/>
      <w:lvlText w:val="%1.%2.%3.%4.%5.%6.%7.%8"/>
      <w:lvlJc w:val="left"/>
      <w:pPr>
        <w:ind w:left="1080" w:hanging="180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8">
      <w:start w:val="1"/>
      <w:numFmt w:val="decimal"/>
      <w:lvlText w:val="%1.%2.%3.%4.%5.%6.%7.%8.%9"/>
      <w:lvlJc w:val="left"/>
      <w:pPr>
        <w:ind w:left="1440" w:hanging="2160"/>
      </w:pPr>
      <w:rPr>
        <w:rFonts w:ascii="Times New Roman" w:hAnsi="Times New Roman" w:cs="Times New Roman"/>
        <w:b/>
        <w:sz w:val="28"/>
        <w:szCs w:val="28"/>
        <w:lang w:eastAsia="ru-RU"/>
      </w:rPr>
    </w:lvl>
  </w:abstractNum>
  <w:abstractNum w:abstractNumId="25" w15:restartNumberingAfterBreak="0">
    <w:nsid w:val="56FC3732"/>
    <w:multiLevelType w:val="multilevel"/>
    <w:tmpl w:val="96361F6C"/>
    <w:styleLink w:val="WWNum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6" w15:restartNumberingAfterBreak="0">
    <w:nsid w:val="57687BE7"/>
    <w:multiLevelType w:val="multilevel"/>
    <w:tmpl w:val="60D89B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580F058D"/>
    <w:multiLevelType w:val="multilevel"/>
    <w:tmpl w:val="427C0C9E"/>
    <w:styleLink w:val="WW8Num2"/>
    <w:lvl w:ilvl="0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/>
        <w:b/>
        <w:sz w:val="28"/>
        <w:szCs w:val="28"/>
        <w:lang w:eastAsia="ru-RU"/>
      </w:rPr>
    </w:lvl>
  </w:abstractNum>
  <w:abstractNum w:abstractNumId="28" w15:restartNumberingAfterBreak="0">
    <w:nsid w:val="5D7175D4"/>
    <w:multiLevelType w:val="multilevel"/>
    <w:tmpl w:val="294A40DC"/>
    <w:styleLink w:val="WW8Num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9" w15:restartNumberingAfterBreak="0">
    <w:nsid w:val="621B6236"/>
    <w:multiLevelType w:val="multilevel"/>
    <w:tmpl w:val="FA120868"/>
    <w:styleLink w:val="WWNum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0" w15:restartNumberingAfterBreak="0">
    <w:nsid w:val="641E2668"/>
    <w:multiLevelType w:val="multilevel"/>
    <w:tmpl w:val="3A8EEA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65A41C40"/>
    <w:multiLevelType w:val="multilevel"/>
    <w:tmpl w:val="0436E0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6EF3438"/>
    <w:multiLevelType w:val="multilevel"/>
    <w:tmpl w:val="2AE4FA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7933135"/>
    <w:multiLevelType w:val="multilevel"/>
    <w:tmpl w:val="F7503D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7CB303A"/>
    <w:multiLevelType w:val="multilevel"/>
    <w:tmpl w:val="D5B2AF6C"/>
    <w:styleLink w:val="WWNum14"/>
    <w:lvl w:ilvl="0">
      <w:start w:val="3"/>
      <w:numFmt w:val="decimal"/>
      <w:lvlText w:val="%1)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5" w15:restartNumberingAfterBreak="0">
    <w:nsid w:val="685C71C1"/>
    <w:multiLevelType w:val="multilevel"/>
    <w:tmpl w:val="79923E90"/>
    <w:styleLink w:val="WWNum34"/>
    <w:lvl w:ilvl="0">
      <w:start w:val="8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36" w15:restartNumberingAfterBreak="0">
    <w:nsid w:val="6C2775DB"/>
    <w:multiLevelType w:val="multilevel"/>
    <w:tmpl w:val="54E08B0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E2713FE"/>
    <w:multiLevelType w:val="multilevel"/>
    <w:tmpl w:val="47CE305A"/>
    <w:styleLink w:val="WWNum2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38" w15:restartNumberingAfterBreak="0">
    <w:nsid w:val="71A22D74"/>
    <w:multiLevelType w:val="multilevel"/>
    <w:tmpl w:val="E304BB3E"/>
    <w:styleLink w:val="WWNum17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9" w15:restartNumberingAfterBreak="0">
    <w:nsid w:val="71FE78F8"/>
    <w:multiLevelType w:val="multilevel"/>
    <w:tmpl w:val="0D1E9E2E"/>
    <w:styleLink w:val="WWNum1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0" w15:restartNumberingAfterBreak="0">
    <w:nsid w:val="73677E44"/>
    <w:multiLevelType w:val="multilevel"/>
    <w:tmpl w:val="988A908A"/>
    <w:styleLink w:val="WWNum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743B5C46"/>
    <w:multiLevelType w:val="multilevel"/>
    <w:tmpl w:val="7FEE37AC"/>
    <w:styleLink w:val="WWNum1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2" w15:restartNumberingAfterBreak="0">
    <w:nsid w:val="74B2173A"/>
    <w:multiLevelType w:val="multilevel"/>
    <w:tmpl w:val="75A82676"/>
    <w:styleLink w:val="WWNum2"/>
    <w:lvl w:ilvl="0">
      <w:start w:val="1"/>
      <w:numFmt w:val="decimal"/>
      <w:lvlText w:val="%1."/>
      <w:lvlJc w:val="left"/>
      <w:pPr>
        <w:ind w:left="1818" w:hanging="111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3" w15:restartNumberingAfterBreak="0">
    <w:nsid w:val="752615B9"/>
    <w:multiLevelType w:val="multilevel"/>
    <w:tmpl w:val="17FA275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767B0C41"/>
    <w:multiLevelType w:val="multilevel"/>
    <w:tmpl w:val="856AB84C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5" w15:restartNumberingAfterBreak="0">
    <w:nsid w:val="77670734"/>
    <w:multiLevelType w:val="multilevel"/>
    <w:tmpl w:val="1F742280"/>
    <w:styleLink w:val="WW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6" w15:restartNumberingAfterBreak="0">
    <w:nsid w:val="79CB350C"/>
    <w:multiLevelType w:val="multilevel"/>
    <w:tmpl w:val="B7604D0E"/>
    <w:styleLink w:val="WWNum9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7" w15:restartNumberingAfterBreak="0">
    <w:nsid w:val="7A23649B"/>
    <w:multiLevelType w:val="multilevel"/>
    <w:tmpl w:val="BE48484C"/>
    <w:styleLink w:val="WWNum19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48" w15:restartNumberingAfterBreak="0">
    <w:nsid w:val="7EDB66A1"/>
    <w:multiLevelType w:val="multilevel"/>
    <w:tmpl w:val="DA0CBF70"/>
    <w:styleLink w:val="WWNum3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num w:numId="1">
    <w:abstractNumId w:val="15"/>
  </w:num>
  <w:num w:numId="2">
    <w:abstractNumId w:val="42"/>
  </w:num>
  <w:num w:numId="3">
    <w:abstractNumId w:val="48"/>
  </w:num>
  <w:num w:numId="4">
    <w:abstractNumId w:val="36"/>
  </w:num>
  <w:num w:numId="5">
    <w:abstractNumId w:val="40"/>
  </w:num>
  <w:num w:numId="6">
    <w:abstractNumId w:val="22"/>
  </w:num>
  <w:num w:numId="7">
    <w:abstractNumId w:val="25"/>
  </w:num>
  <w:num w:numId="8">
    <w:abstractNumId w:val="45"/>
  </w:num>
  <w:num w:numId="9">
    <w:abstractNumId w:val="46"/>
  </w:num>
  <w:num w:numId="10">
    <w:abstractNumId w:val="18"/>
  </w:num>
  <w:num w:numId="11">
    <w:abstractNumId w:val="41"/>
  </w:num>
  <w:num w:numId="12">
    <w:abstractNumId w:val="3"/>
  </w:num>
  <w:num w:numId="13">
    <w:abstractNumId w:val="39"/>
  </w:num>
  <w:num w:numId="14">
    <w:abstractNumId w:val="34"/>
  </w:num>
  <w:num w:numId="15">
    <w:abstractNumId w:val="9"/>
  </w:num>
  <w:num w:numId="16">
    <w:abstractNumId w:val="13"/>
  </w:num>
  <w:num w:numId="17">
    <w:abstractNumId w:val="38"/>
  </w:num>
  <w:num w:numId="18">
    <w:abstractNumId w:val="29"/>
  </w:num>
  <w:num w:numId="19">
    <w:abstractNumId w:val="47"/>
  </w:num>
  <w:num w:numId="20">
    <w:abstractNumId w:val="2"/>
  </w:num>
  <w:num w:numId="21">
    <w:abstractNumId w:val="1"/>
  </w:num>
  <w:num w:numId="22">
    <w:abstractNumId w:val="44"/>
  </w:num>
  <w:num w:numId="23">
    <w:abstractNumId w:val="37"/>
  </w:num>
  <w:num w:numId="24">
    <w:abstractNumId w:val="11"/>
  </w:num>
  <w:num w:numId="25">
    <w:abstractNumId w:val="4"/>
  </w:num>
  <w:num w:numId="26">
    <w:abstractNumId w:val="20"/>
  </w:num>
  <w:num w:numId="27">
    <w:abstractNumId w:val="17"/>
  </w:num>
  <w:num w:numId="28">
    <w:abstractNumId w:val="10"/>
  </w:num>
  <w:num w:numId="29">
    <w:abstractNumId w:val="8"/>
  </w:num>
  <w:num w:numId="30">
    <w:abstractNumId w:val="0"/>
  </w:num>
  <w:num w:numId="31">
    <w:abstractNumId w:val="43"/>
  </w:num>
  <w:num w:numId="32">
    <w:abstractNumId w:val="21"/>
  </w:num>
  <w:num w:numId="33">
    <w:abstractNumId w:val="19"/>
  </w:num>
  <w:num w:numId="34">
    <w:abstractNumId w:val="35"/>
  </w:num>
  <w:num w:numId="35">
    <w:abstractNumId w:val="24"/>
  </w:num>
  <w:num w:numId="36">
    <w:abstractNumId w:val="28"/>
  </w:num>
  <w:num w:numId="37">
    <w:abstractNumId w:val="27"/>
  </w:num>
  <w:num w:numId="38">
    <w:abstractNumId w:val="12"/>
  </w:num>
  <w:num w:numId="39">
    <w:abstractNumId w:val="26"/>
  </w:num>
  <w:num w:numId="40">
    <w:abstractNumId w:val="32"/>
  </w:num>
  <w:num w:numId="41">
    <w:abstractNumId w:val="5"/>
  </w:num>
  <w:num w:numId="42">
    <w:abstractNumId w:val="7"/>
  </w:num>
  <w:num w:numId="43">
    <w:abstractNumId w:val="31"/>
  </w:num>
  <w:num w:numId="44">
    <w:abstractNumId w:val="33"/>
  </w:num>
  <w:num w:numId="45">
    <w:abstractNumId w:val="23"/>
  </w:num>
  <w:num w:numId="46">
    <w:abstractNumId w:val="30"/>
  </w:num>
  <w:num w:numId="47">
    <w:abstractNumId w:val="14"/>
  </w:num>
  <w:num w:numId="48">
    <w:abstractNumId w:val="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4AE9"/>
    <w:rsid w:val="00174AB1"/>
    <w:rsid w:val="00AD155F"/>
    <w:rsid w:val="00C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13922-7CBC-495C-B50E-E60B02D4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widowControl/>
      <w:ind w:left="283" w:firstLine="720"/>
      <w:jc w:val="both"/>
    </w:pPr>
    <w:rPr>
      <w:sz w:val="26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20">
    <w:name w:val="Body Text Indent 2"/>
    <w:basedOn w:val="Standard"/>
    <w:pPr>
      <w:ind w:firstLine="709"/>
      <w:jc w:val="both"/>
    </w:pPr>
    <w:rPr>
      <w:sz w:val="28"/>
    </w:rPr>
  </w:style>
  <w:style w:type="paragraph" w:styleId="3">
    <w:name w:val="Body Text Indent 3"/>
    <w:basedOn w:val="Standard"/>
    <w:pPr>
      <w:ind w:firstLine="720"/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pPr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Standard"/>
    <w:pPr>
      <w:widowControl/>
    </w:pPr>
  </w:style>
  <w:style w:type="paragraph" w:styleId="a8">
    <w:name w:val="List Paragraph"/>
    <w:basedOn w:val="Standard"/>
    <w:pPr>
      <w:widowControl/>
      <w:ind w:left="720"/>
    </w:pPr>
    <w:rPr>
      <w:sz w:val="24"/>
      <w:szCs w:val="24"/>
    </w:rPr>
  </w:style>
  <w:style w:type="paragraph" w:customStyle="1" w:styleId="ConsPlusCell">
    <w:name w:val="ConsPlusCell"/>
    <w:pPr>
      <w:widowControl/>
    </w:pPr>
    <w:rPr>
      <w:rFonts w:ascii="Times New Roman" w:hAnsi="Times New Roman"/>
      <w:sz w:val="26"/>
      <w:szCs w:val="26"/>
    </w:rPr>
  </w:style>
  <w:style w:type="paragraph" w:styleId="a9">
    <w:name w:val="Normal (Web)"/>
    <w:basedOn w:val="Standard"/>
    <w:pPr>
      <w:widowControl/>
      <w:spacing w:before="100" w:after="119"/>
    </w:pPr>
    <w:rPr>
      <w:sz w:val="24"/>
      <w:szCs w:val="24"/>
    </w:rPr>
  </w:style>
  <w:style w:type="paragraph" w:customStyle="1" w:styleId="sdfootnote">
    <w:name w:val="sdfootnote"/>
    <w:basedOn w:val="Standard"/>
    <w:pPr>
      <w:widowControl/>
      <w:spacing w:before="100"/>
      <w:ind w:left="284" w:hanging="284"/>
    </w:p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Таблицы (моноширинный)"/>
    <w:basedOn w:val="Standard"/>
    <w:pPr>
      <w:jc w:val="both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</w:style>
  <w:style w:type="character" w:customStyle="1" w:styleId="af">
    <w:name w:val="Верх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1">
    <w:name w:val="Текст сноски Знак"/>
    <w:rPr>
      <w:rFonts w:ascii="Times New Roman" w:eastAsia="Times New Roman" w:hAnsi="Times New Roman"/>
    </w:rPr>
  </w:style>
  <w:style w:type="character" w:styleId="af2">
    <w:name w:val="footnote reference"/>
    <w:rPr>
      <w:position w:val="0"/>
      <w:vertAlign w:val="superscript"/>
    </w:rPr>
  </w:style>
  <w:style w:type="character" w:customStyle="1" w:styleId="r">
    <w:name w:val="r"/>
  </w:style>
  <w:style w:type="character" w:customStyle="1" w:styleId="f">
    <w:name w:val="f"/>
  </w:style>
  <w:style w:type="character" w:customStyle="1" w:styleId="af3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pelle">
    <w:name w:val="spelle"/>
    <w:basedOn w:val="a0"/>
  </w:style>
  <w:style w:type="character" w:customStyle="1" w:styleId="apple-converted-space">
    <w:name w:val="apple-converted-space"/>
    <w:basedOn w:val="a0"/>
  </w:style>
  <w:style w:type="character" w:customStyle="1" w:styleId="grame">
    <w:name w:val="grame"/>
    <w:basedOn w:val="a0"/>
  </w:style>
  <w:style w:type="character" w:customStyle="1" w:styleId="WW8Num3z0">
    <w:name w:val="WW8Num3z0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WW8Num3z1">
    <w:name w:val="WW8Num3z1"/>
    <w:rPr>
      <w:rFonts w:ascii="Times New Roman" w:hAnsi="Times New Roman" w:cs="Times New Roman"/>
      <w:b w:val="0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b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WW8Num2z1">
    <w:name w:val="WW8Num2z1"/>
    <w:rPr>
      <w:rFonts w:ascii="Times New Roman" w:hAnsi="Times New Roman" w:cs="Times New Roman"/>
      <w:b w:val="0"/>
      <w:sz w:val="28"/>
      <w:szCs w:val="28"/>
    </w:rPr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8Num3">
    <w:name w:val="WW8Num3"/>
    <w:basedOn w:val="a2"/>
    <w:pPr>
      <w:numPr>
        <w:numId w:val="35"/>
      </w:numPr>
    </w:pPr>
  </w:style>
  <w:style w:type="numbering" w:customStyle="1" w:styleId="WW8Num4">
    <w:name w:val="WW8Num4"/>
    <w:basedOn w:val="a2"/>
    <w:pPr>
      <w:numPr>
        <w:numId w:val="36"/>
      </w:numPr>
    </w:pPr>
  </w:style>
  <w:style w:type="numbering" w:customStyle="1" w:styleId="WW8Num2">
    <w:name w:val="WW8Num2"/>
    <w:basedOn w:val="a2"/>
    <w:pPr>
      <w:numPr>
        <w:numId w:val="37"/>
      </w:numPr>
    </w:pPr>
  </w:style>
  <w:style w:type="numbering" w:customStyle="1" w:styleId="WW8Num7">
    <w:name w:val="WW8Num7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105B3C9A3121D8ACD722950ACA1FC7D3BE692D10137E71091F74E2DoDZF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105B3C9A3121D8ACD722950ACA1FC7D3BE692D10137E71091F74E2DoDZFF" TargetMode="External"/><Relationship Id="rId12" Type="http://schemas.openxmlformats.org/officeDocument/2006/relationships/hyperlink" Target="consultantplus://offline/ref=A4F105B3C9A3121D8ACD722950ACA1FC7D3BE692D10137E71091F74E2DoDZF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F105B3C9A3121D8ACD722950ACA1FC7D3BE692D10137E71091F74E2DoDZF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4F105B3C9A3121D8ACD722950ACA1FC7D3BE692D10137E71091F74E2DoDZ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105B3C9A3121D8ACD722950ACA1FC7D3BE692D10137E71091F74E2DoDZF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Цуман</dc:creator>
  <cp:lastModifiedBy>Чукотское УФАС России</cp:lastModifiedBy>
  <cp:revision>2</cp:revision>
  <cp:lastPrinted>2017-06-13T09:55:00Z</cp:lastPrinted>
  <dcterms:created xsi:type="dcterms:W3CDTF">2017-06-13T08:47:00Z</dcterms:created>
  <dcterms:modified xsi:type="dcterms:W3CDTF">2017-06-13T08:47:00Z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