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DD" w:rsidRDefault="00F71EDD" w:rsidP="00F71EDD">
      <w:pPr>
        <w:pStyle w:val="Standard"/>
        <w:tabs>
          <w:tab w:val="left" w:pos="5670"/>
        </w:tabs>
        <w:jc w:val="right"/>
      </w:pPr>
      <w:r>
        <w:rPr>
          <w:sz w:val="28"/>
          <w:szCs w:val="28"/>
        </w:rPr>
        <w:t xml:space="preserve">                                                                                  </w:t>
      </w:r>
      <w:r>
        <w:rPr>
          <w:b/>
          <w:sz w:val="28"/>
          <w:szCs w:val="28"/>
        </w:rPr>
        <w:t>УТВЕРЖДАЮ</w:t>
      </w:r>
    </w:p>
    <w:p w:rsidR="00F71EDD" w:rsidRDefault="00F71EDD" w:rsidP="00F71EDD">
      <w:pPr>
        <w:pStyle w:val="Standard"/>
        <w:tabs>
          <w:tab w:val="left" w:pos="5670"/>
        </w:tabs>
        <w:jc w:val="right"/>
        <w:rPr>
          <w:sz w:val="28"/>
          <w:szCs w:val="28"/>
        </w:rPr>
      </w:pPr>
      <w:r>
        <w:rPr>
          <w:sz w:val="28"/>
          <w:szCs w:val="28"/>
        </w:rPr>
        <w:t xml:space="preserve">                                                                                   Руководитель</w:t>
      </w:r>
    </w:p>
    <w:p w:rsidR="00F71EDD" w:rsidRDefault="00F71EDD" w:rsidP="00F71EDD">
      <w:pPr>
        <w:pStyle w:val="Standard"/>
        <w:tabs>
          <w:tab w:val="left" w:pos="5670"/>
        </w:tabs>
        <w:jc w:val="right"/>
        <w:rPr>
          <w:sz w:val="28"/>
          <w:szCs w:val="28"/>
        </w:rPr>
      </w:pPr>
      <w:r>
        <w:rPr>
          <w:sz w:val="28"/>
          <w:szCs w:val="28"/>
        </w:rPr>
        <w:t xml:space="preserve">                                                                                  Чукотского УФАС России</w:t>
      </w:r>
    </w:p>
    <w:p w:rsidR="00F71EDD" w:rsidRDefault="00F71EDD" w:rsidP="00F71EDD">
      <w:pPr>
        <w:pStyle w:val="Standard"/>
        <w:tabs>
          <w:tab w:val="left" w:pos="5670"/>
        </w:tabs>
        <w:jc w:val="right"/>
        <w:rPr>
          <w:sz w:val="28"/>
          <w:szCs w:val="28"/>
        </w:rPr>
      </w:pPr>
      <w:r>
        <w:rPr>
          <w:sz w:val="28"/>
          <w:szCs w:val="28"/>
        </w:rPr>
        <w:t xml:space="preserve">                                                        </w:t>
      </w:r>
    </w:p>
    <w:p w:rsidR="00F71EDD" w:rsidRDefault="00F71EDD" w:rsidP="00F71EDD">
      <w:pPr>
        <w:pStyle w:val="Standard"/>
        <w:tabs>
          <w:tab w:val="left" w:pos="5670"/>
        </w:tabs>
        <w:jc w:val="right"/>
        <w:rPr>
          <w:sz w:val="28"/>
          <w:szCs w:val="28"/>
        </w:rPr>
      </w:pPr>
      <w:r>
        <w:rPr>
          <w:sz w:val="28"/>
          <w:szCs w:val="28"/>
        </w:rPr>
        <w:t xml:space="preserve">                                                                                                         __________    Т.А. Омаев</w:t>
      </w:r>
    </w:p>
    <w:p w:rsidR="00F71EDD" w:rsidRDefault="00F71EDD" w:rsidP="00F71EDD">
      <w:pPr>
        <w:pStyle w:val="Standard"/>
        <w:tabs>
          <w:tab w:val="left" w:pos="5670"/>
        </w:tabs>
        <w:jc w:val="right"/>
        <w:rPr>
          <w:sz w:val="28"/>
          <w:szCs w:val="28"/>
        </w:rPr>
      </w:pPr>
    </w:p>
    <w:p w:rsidR="00F71EDD" w:rsidRDefault="00F71EDD" w:rsidP="00F71EDD">
      <w:pPr>
        <w:pStyle w:val="Standard"/>
        <w:tabs>
          <w:tab w:val="left" w:pos="5670"/>
        </w:tabs>
        <w:jc w:val="right"/>
        <w:rPr>
          <w:sz w:val="28"/>
          <w:szCs w:val="28"/>
        </w:rPr>
      </w:pPr>
      <w:r>
        <w:rPr>
          <w:sz w:val="28"/>
          <w:szCs w:val="28"/>
        </w:rPr>
        <w:t xml:space="preserve">                                                                                  10 мая 2017 г.</w:t>
      </w:r>
    </w:p>
    <w:p w:rsidR="00F71EDD" w:rsidRDefault="00F71EDD" w:rsidP="00F71EDD">
      <w:pPr>
        <w:pStyle w:val="a7"/>
        <w:spacing w:before="0" w:after="0" w:line="288" w:lineRule="auto"/>
        <w:ind w:firstLine="709"/>
        <w:jc w:val="center"/>
        <w:rPr>
          <w:b/>
          <w:bCs/>
          <w:sz w:val="28"/>
          <w:szCs w:val="28"/>
        </w:rPr>
      </w:pPr>
    </w:p>
    <w:p w:rsidR="00F71EDD" w:rsidRDefault="00F71EDD" w:rsidP="00F71EDD">
      <w:pPr>
        <w:pStyle w:val="a7"/>
        <w:spacing w:before="0" w:after="0" w:line="288" w:lineRule="auto"/>
        <w:ind w:firstLine="709"/>
        <w:jc w:val="center"/>
        <w:rPr>
          <w:b/>
          <w:bCs/>
          <w:sz w:val="28"/>
          <w:szCs w:val="28"/>
        </w:rPr>
      </w:pPr>
    </w:p>
    <w:p w:rsidR="00F71EDD" w:rsidRDefault="00F71EDD" w:rsidP="00F71EDD">
      <w:pPr>
        <w:pStyle w:val="a7"/>
        <w:spacing w:before="0" w:after="0" w:line="288" w:lineRule="auto"/>
        <w:ind w:firstLine="709"/>
        <w:jc w:val="center"/>
        <w:rPr>
          <w:b/>
          <w:bCs/>
          <w:sz w:val="28"/>
          <w:szCs w:val="28"/>
        </w:rPr>
      </w:pPr>
    </w:p>
    <w:p w:rsidR="00F71EDD" w:rsidRDefault="00F71EDD" w:rsidP="00F71EDD">
      <w:pPr>
        <w:pStyle w:val="a7"/>
        <w:spacing w:before="0" w:after="0" w:line="288" w:lineRule="auto"/>
        <w:ind w:firstLine="709"/>
        <w:jc w:val="center"/>
        <w:rPr>
          <w:b/>
          <w:bCs/>
          <w:sz w:val="28"/>
          <w:szCs w:val="28"/>
        </w:rPr>
      </w:pPr>
      <w:r>
        <w:rPr>
          <w:b/>
          <w:bCs/>
          <w:sz w:val="28"/>
          <w:szCs w:val="28"/>
        </w:rPr>
        <w:t>Аналитический отчет по результатам анализа состояния конкуренции на розничных рынках электрической энергии (мощности) на территории Чукотского автономного округа за 2016 год</w:t>
      </w:r>
    </w:p>
    <w:p w:rsidR="00F71EDD" w:rsidRDefault="00F71EDD" w:rsidP="00F71EDD">
      <w:pPr>
        <w:pStyle w:val="a7"/>
        <w:spacing w:before="240" w:line="288" w:lineRule="auto"/>
        <w:ind w:firstLine="709"/>
        <w:jc w:val="center"/>
        <w:rPr>
          <w:b/>
          <w:bCs/>
          <w:sz w:val="28"/>
          <w:szCs w:val="28"/>
        </w:rPr>
      </w:pPr>
      <w:r>
        <w:rPr>
          <w:b/>
          <w:bCs/>
          <w:sz w:val="28"/>
          <w:szCs w:val="28"/>
        </w:rPr>
        <w:t>Общие положения</w:t>
      </w:r>
    </w:p>
    <w:p w:rsidR="00F71EDD" w:rsidRDefault="00F71EDD" w:rsidP="00F71EDD">
      <w:pPr>
        <w:pStyle w:val="a7"/>
        <w:spacing w:before="0" w:after="0" w:line="300" w:lineRule="auto"/>
        <w:ind w:firstLine="709"/>
        <w:jc w:val="both"/>
      </w:pPr>
      <w:r>
        <w:rPr>
          <w:sz w:val="28"/>
          <w:szCs w:val="28"/>
        </w:rPr>
        <w:t xml:space="preserve">Анализ состояния конкуренции на розничных рынках электрической энергии (мощности) на территории Чукотского автономного округа за 2016 год (далее </w:t>
      </w:r>
      <w:r>
        <w:rPr>
          <w:b/>
          <w:bCs/>
          <w:sz w:val="28"/>
          <w:szCs w:val="28"/>
        </w:rPr>
        <w:t xml:space="preserve">- </w:t>
      </w:r>
      <w:r>
        <w:rPr>
          <w:sz w:val="28"/>
          <w:szCs w:val="28"/>
        </w:rPr>
        <w:t>Анализ) проведен в соответствии с Порядком проведения анализа состояния конкуренции на товарном рынке, утвержденным Порядком проведения анализа состояния конкуренции на товарном рынке, утвержденным приказом ФАС России от 28.04.2010 № 220 «Об утверждении порядка проведения анализа состояния конкуренции на товарном рынке» (далее — Порядок), во исполнение приказа ФАС России от 05.12.2016 № 1718/16 «О плане работы ФАС России по анализу состояния конкуренции на товарных рынках на 2017-2018 годы» (далее — Приказ ФАС России от 05.12.2016 № 1718/16).</w:t>
      </w:r>
    </w:p>
    <w:p w:rsidR="00F71EDD" w:rsidRDefault="00F71EDD" w:rsidP="00F71EDD">
      <w:pPr>
        <w:pStyle w:val="a7"/>
        <w:spacing w:before="0" w:after="0" w:line="300" w:lineRule="auto"/>
        <w:ind w:firstLine="709"/>
        <w:jc w:val="both"/>
        <w:rPr>
          <w:sz w:val="28"/>
          <w:szCs w:val="28"/>
        </w:rPr>
      </w:pPr>
      <w:r>
        <w:rPr>
          <w:sz w:val="28"/>
          <w:szCs w:val="28"/>
        </w:rPr>
        <w:t>Анализ проводится с целью установления доминирующего положения энергосбытовых компаний (в том числе гарантирующих поставщиков электрической энергии (мощности)), осуществляющих деятельность на территории Чукотского автономного округа.</w:t>
      </w:r>
    </w:p>
    <w:p w:rsidR="00F71EDD" w:rsidRDefault="00F71EDD" w:rsidP="00F71EDD">
      <w:pPr>
        <w:pStyle w:val="a7"/>
        <w:spacing w:before="0" w:after="0" w:line="300" w:lineRule="auto"/>
        <w:ind w:firstLine="709"/>
        <w:jc w:val="both"/>
        <w:rPr>
          <w:sz w:val="28"/>
          <w:szCs w:val="28"/>
        </w:rPr>
      </w:pPr>
    </w:p>
    <w:p w:rsidR="00F71EDD" w:rsidRDefault="00F71EDD" w:rsidP="00F71EDD">
      <w:pPr>
        <w:pStyle w:val="a7"/>
        <w:spacing w:before="0" w:after="0" w:line="300" w:lineRule="auto"/>
        <w:ind w:firstLine="709"/>
        <w:jc w:val="both"/>
        <w:rPr>
          <w:sz w:val="28"/>
          <w:szCs w:val="28"/>
        </w:rPr>
      </w:pPr>
    </w:p>
    <w:p w:rsidR="00F71EDD" w:rsidRDefault="00F71EDD" w:rsidP="00F71EDD">
      <w:pPr>
        <w:pStyle w:val="a7"/>
        <w:spacing w:before="0" w:after="0" w:line="300" w:lineRule="auto"/>
        <w:ind w:firstLine="709"/>
        <w:jc w:val="both"/>
        <w:rPr>
          <w:sz w:val="28"/>
          <w:szCs w:val="28"/>
        </w:rPr>
      </w:pPr>
    </w:p>
    <w:p w:rsidR="00F71EDD" w:rsidRDefault="00F71EDD" w:rsidP="00F71EDD">
      <w:pPr>
        <w:pStyle w:val="Textbody"/>
        <w:spacing w:line="300" w:lineRule="auto"/>
        <w:ind w:firstLine="709"/>
        <w:rPr>
          <w:sz w:val="28"/>
          <w:szCs w:val="28"/>
        </w:rPr>
      </w:pPr>
      <w:r>
        <w:rPr>
          <w:sz w:val="28"/>
          <w:szCs w:val="28"/>
        </w:rPr>
        <w:lastRenderedPageBreak/>
        <w:t>Нормативные правовые акты используемые при проведении анализа:</w:t>
      </w:r>
    </w:p>
    <w:p w:rsidR="00F71EDD" w:rsidRDefault="00F71EDD" w:rsidP="00F71EDD">
      <w:pPr>
        <w:pStyle w:val="Textbody"/>
        <w:numPr>
          <w:ilvl w:val="2"/>
          <w:numId w:val="1"/>
        </w:numPr>
        <w:spacing w:line="300" w:lineRule="auto"/>
        <w:ind w:left="0" w:firstLine="709"/>
        <w:rPr>
          <w:sz w:val="28"/>
          <w:szCs w:val="28"/>
        </w:rPr>
      </w:pPr>
      <w:r>
        <w:rPr>
          <w:sz w:val="28"/>
          <w:szCs w:val="28"/>
        </w:rPr>
        <w:t>Данные с Федерального информационного реестра гарантирующих поставщиков и зон их деятельности (http://fas.gov.ru/activity/tariffregulation/federalnyij-informaczionnyij-reestr-garantiruyushhix-postavshhikov-i-zon-ix-deyatelnosti.html);</w:t>
      </w:r>
    </w:p>
    <w:p w:rsidR="00F71EDD" w:rsidRDefault="00F71EDD" w:rsidP="00F71EDD">
      <w:pPr>
        <w:pStyle w:val="Textbody"/>
        <w:numPr>
          <w:ilvl w:val="2"/>
          <w:numId w:val="1"/>
        </w:numPr>
        <w:spacing w:line="300" w:lineRule="auto"/>
        <w:ind w:left="0" w:firstLine="709"/>
        <w:rPr>
          <w:sz w:val="28"/>
          <w:szCs w:val="28"/>
        </w:rPr>
      </w:pPr>
      <w:r>
        <w:rPr>
          <w:sz w:val="28"/>
          <w:szCs w:val="28"/>
        </w:rPr>
        <w:t>Федеральный закон от 26.07.2006 № 135-ФЗ «О защите конкуренции» (далее - Закон о защите конкуренции);</w:t>
      </w:r>
    </w:p>
    <w:p w:rsidR="00F71EDD" w:rsidRDefault="00F71EDD" w:rsidP="00F71EDD">
      <w:pPr>
        <w:pStyle w:val="Textbody"/>
        <w:numPr>
          <w:ilvl w:val="2"/>
          <w:numId w:val="1"/>
        </w:numPr>
        <w:spacing w:line="300" w:lineRule="auto"/>
        <w:ind w:left="0" w:firstLine="709"/>
        <w:rPr>
          <w:sz w:val="28"/>
          <w:szCs w:val="28"/>
        </w:rPr>
      </w:pPr>
      <w:r>
        <w:rPr>
          <w:sz w:val="28"/>
          <w:szCs w:val="28"/>
        </w:rPr>
        <w:t>Федеральный закон от 26.03.2003 №35-ФЗ «Об электроэнергетике» (далее — Закон);</w:t>
      </w:r>
    </w:p>
    <w:p w:rsidR="00F71EDD" w:rsidRDefault="00F71EDD" w:rsidP="00F71EDD">
      <w:pPr>
        <w:pStyle w:val="Textbody"/>
        <w:numPr>
          <w:ilvl w:val="2"/>
          <w:numId w:val="1"/>
        </w:numPr>
        <w:spacing w:line="300" w:lineRule="auto"/>
        <w:ind w:left="0" w:firstLine="709"/>
        <w:rPr>
          <w:sz w:val="28"/>
          <w:szCs w:val="28"/>
        </w:rPr>
      </w:pPr>
      <w:r>
        <w:rPr>
          <w:sz w:val="28"/>
          <w:szCs w:val="28"/>
        </w:rPr>
        <w:t>Федеральный закон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Закон об особенностях функционирования электроэнергетики);</w:t>
      </w:r>
    </w:p>
    <w:p w:rsidR="00F71EDD" w:rsidRDefault="00F71EDD" w:rsidP="00F71EDD">
      <w:pPr>
        <w:pStyle w:val="Textbody"/>
        <w:numPr>
          <w:ilvl w:val="2"/>
          <w:numId w:val="1"/>
        </w:numPr>
        <w:spacing w:line="300" w:lineRule="auto"/>
        <w:ind w:left="0" w:firstLine="709"/>
        <w:rPr>
          <w:sz w:val="28"/>
          <w:szCs w:val="28"/>
        </w:rPr>
      </w:pPr>
      <w:r>
        <w:rPr>
          <w:sz w:val="28"/>
          <w:szCs w:val="28"/>
        </w:rPr>
        <w:t>Информация, полученная от Департамента промышленной и сельскохозяйственной политики Чукотского автономного округа;</w:t>
      </w:r>
    </w:p>
    <w:p w:rsidR="00F71EDD" w:rsidRDefault="00F71EDD" w:rsidP="00F71EDD">
      <w:pPr>
        <w:pStyle w:val="Textbody"/>
        <w:numPr>
          <w:ilvl w:val="2"/>
          <w:numId w:val="1"/>
        </w:numPr>
        <w:spacing w:line="300" w:lineRule="auto"/>
        <w:ind w:left="0" w:firstLine="709"/>
        <w:rPr>
          <w:sz w:val="28"/>
          <w:szCs w:val="28"/>
        </w:rPr>
      </w:pPr>
      <w:r>
        <w:rPr>
          <w:sz w:val="28"/>
          <w:szCs w:val="28"/>
        </w:rPr>
        <w:t>Информация, полученная от хозяйствующих субъектов, действующих на розничном рынке электрической энергии на территории Чукотского автономного округа, по запросу Чукотского УФАС России.</w:t>
      </w:r>
    </w:p>
    <w:p w:rsidR="00F71EDD" w:rsidRDefault="00F71EDD" w:rsidP="00F71EDD">
      <w:pPr>
        <w:pStyle w:val="a7"/>
        <w:spacing w:before="240" w:line="300" w:lineRule="auto"/>
        <w:ind w:firstLine="709"/>
        <w:jc w:val="center"/>
        <w:rPr>
          <w:b/>
          <w:bCs/>
          <w:sz w:val="28"/>
          <w:szCs w:val="28"/>
        </w:rPr>
      </w:pPr>
      <w:r>
        <w:rPr>
          <w:b/>
          <w:bCs/>
          <w:sz w:val="28"/>
          <w:szCs w:val="28"/>
        </w:rPr>
        <w:t>Временной интервал исследования товарного рынка</w:t>
      </w:r>
    </w:p>
    <w:p w:rsidR="00F71EDD" w:rsidRDefault="00F71EDD" w:rsidP="00F71EDD">
      <w:pPr>
        <w:pStyle w:val="a7"/>
        <w:spacing w:before="0" w:after="0" w:line="300" w:lineRule="auto"/>
        <w:ind w:firstLine="709"/>
        <w:jc w:val="both"/>
        <w:rPr>
          <w:sz w:val="28"/>
          <w:szCs w:val="28"/>
        </w:rPr>
      </w:pPr>
      <w:r>
        <w:rPr>
          <w:sz w:val="28"/>
          <w:szCs w:val="28"/>
        </w:rPr>
        <w:t>Все характеристики товарного рынка определены согласно Приказу ФАС России от 05.12.2016 № 1718/16, в пределах одного установленного временного интервала 2016 год.</w:t>
      </w:r>
    </w:p>
    <w:p w:rsidR="00F71EDD" w:rsidRDefault="00F71EDD" w:rsidP="00F71EDD">
      <w:pPr>
        <w:pStyle w:val="a7"/>
        <w:spacing w:before="240" w:line="300" w:lineRule="auto"/>
        <w:jc w:val="center"/>
        <w:rPr>
          <w:b/>
          <w:bCs/>
          <w:sz w:val="28"/>
          <w:szCs w:val="28"/>
        </w:rPr>
      </w:pPr>
      <w:r>
        <w:rPr>
          <w:b/>
          <w:bCs/>
          <w:sz w:val="28"/>
          <w:szCs w:val="28"/>
        </w:rPr>
        <w:t>Определение продуктовых границ рынка</w:t>
      </w:r>
    </w:p>
    <w:p w:rsidR="00F71EDD" w:rsidRDefault="00F71EDD" w:rsidP="00F71EDD">
      <w:pPr>
        <w:pStyle w:val="3"/>
        <w:spacing w:line="276" w:lineRule="auto"/>
      </w:pPr>
      <w:r>
        <w:t>Поскольку производство, купля-продажа и потребление электрической энергии осуществляется одновременно с мощностью, невозможно рассматривать рынок электрической энергии и рынок мощности отдельно, рынок электрической энергии (мощности) в данном случае является единым.</w:t>
      </w:r>
    </w:p>
    <w:p w:rsidR="00F71EDD" w:rsidRDefault="00F71EDD" w:rsidP="00F71EDD">
      <w:pPr>
        <w:pStyle w:val="3"/>
        <w:spacing w:line="276" w:lineRule="auto"/>
      </w:pPr>
      <w:r>
        <w:t>В соответствии с пунктом 3.4. Порядка проведения анализа состояния конкуренции на товарном рынке, утвержденного приказом ФАС России от 28.04.2010 № 220, определение товара может быть определено на основе:</w:t>
      </w:r>
    </w:p>
    <w:p w:rsidR="00F71EDD" w:rsidRDefault="00F71EDD" w:rsidP="00F71EDD">
      <w:pPr>
        <w:pStyle w:val="3"/>
        <w:numPr>
          <w:ilvl w:val="0"/>
          <w:numId w:val="2"/>
        </w:numPr>
        <w:spacing w:line="276" w:lineRule="auto"/>
      </w:pPr>
      <w:r>
        <w:lastRenderedPageBreak/>
        <w:t>условий договора, заключенного в отношении товара;</w:t>
      </w:r>
    </w:p>
    <w:p w:rsidR="00F71EDD" w:rsidRDefault="00F71EDD" w:rsidP="00F71EDD">
      <w:pPr>
        <w:pStyle w:val="3"/>
        <w:numPr>
          <w:ilvl w:val="0"/>
          <w:numId w:val="3"/>
        </w:numPr>
        <w:spacing w:line="276" w:lineRule="auto"/>
      </w:pPr>
      <w:r>
        <w:t>нормативных актов, регулирующих соответствующую деятельность;</w:t>
      </w:r>
    </w:p>
    <w:p w:rsidR="00F71EDD" w:rsidRDefault="00F71EDD" w:rsidP="00F71EDD">
      <w:pPr>
        <w:pStyle w:val="3"/>
        <w:numPr>
          <w:ilvl w:val="0"/>
          <w:numId w:val="4"/>
        </w:numPr>
        <w:spacing w:line="276" w:lineRule="auto"/>
      </w:pPr>
      <w:r>
        <w:t>общероссийских классификаторов продукции, работ, услуг, видов экономической деятельности.</w:t>
      </w:r>
    </w:p>
    <w:p w:rsidR="00F71EDD" w:rsidRDefault="00F71EDD" w:rsidP="00F71EDD">
      <w:pPr>
        <w:pStyle w:val="3"/>
        <w:spacing w:line="276" w:lineRule="auto"/>
      </w:pPr>
      <w:r>
        <w:t>Для целей настоящего исследования в соответствии со статьей 4 Федерального закона от 26 марта 2003 г. № 35-ФЗ «Об электроэнергетике» используются следующие термины:</w:t>
      </w:r>
    </w:p>
    <w:p w:rsidR="00F71EDD" w:rsidRDefault="00F71EDD" w:rsidP="00F71EDD">
      <w:pPr>
        <w:pStyle w:val="3"/>
        <w:spacing w:line="276" w:lineRule="auto"/>
      </w:pPr>
      <w:r>
        <w:rPr>
          <w:bCs/>
          <w:szCs w:val="28"/>
          <w:u w:val="single"/>
        </w:rPr>
        <w:t>субъекты электроэнергетики</w:t>
      </w:r>
      <w:r>
        <w:rPr>
          <w:szCs w:val="28"/>
        </w:rPr>
        <w:t xml:space="preserve">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F71EDD" w:rsidRDefault="00F71EDD" w:rsidP="00F71EDD">
      <w:pPr>
        <w:pStyle w:val="3"/>
        <w:spacing w:line="276" w:lineRule="auto"/>
      </w:pPr>
      <w:r>
        <w:rPr>
          <w:bCs/>
          <w:szCs w:val="28"/>
          <w:u w:val="single"/>
        </w:rPr>
        <w:t>потребители электрической и тепловой энергии</w:t>
      </w:r>
      <w:r>
        <w:rPr>
          <w:szCs w:val="28"/>
        </w:rPr>
        <w:t xml:space="preserve"> - лица, приобретающие электрическую и тепловую энергию для собственных бытовых и (или) производственных нужд;</w:t>
      </w:r>
    </w:p>
    <w:p w:rsidR="00F71EDD" w:rsidRDefault="00F71EDD" w:rsidP="00F71EDD">
      <w:pPr>
        <w:pStyle w:val="Standard"/>
        <w:spacing w:line="276" w:lineRule="auto"/>
        <w:ind w:firstLine="720"/>
        <w:jc w:val="both"/>
      </w:pPr>
      <w:r>
        <w:rPr>
          <w:bCs/>
          <w:sz w:val="28"/>
          <w:szCs w:val="28"/>
          <w:u w:val="single"/>
        </w:rPr>
        <w:t>розничные рынки электрической энергии</w:t>
      </w:r>
      <w:r>
        <w:rPr>
          <w:sz w:val="28"/>
          <w:szCs w:val="28"/>
        </w:rPr>
        <w:t xml:space="preserve"> - сфера обращения электрической энергии вне оптового рынка с участием потребителей электрической энергии;</w:t>
      </w:r>
    </w:p>
    <w:p w:rsidR="00F71EDD" w:rsidRDefault="00F71EDD" w:rsidP="00F71EDD">
      <w:pPr>
        <w:pStyle w:val="Standard"/>
        <w:spacing w:line="300" w:lineRule="auto"/>
        <w:ind w:firstLine="709"/>
        <w:jc w:val="both"/>
      </w:pPr>
      <w:r>
        <w:rPr>
          <w:bCs/>
          <w:sz w:val="28"/>
          <w:szCs w:val="28"/>
          <w:u w:val="single"/>
        </w:rPr>
        <w:t>энергосбытовые организации</w:t>
      </w:r>
      <w:r>
        <w:rPr>
          <w:sz w:val="28"/>
          <w:szCs w:val="28"/>
        </w:rPr>
        <w:t xml:space="preserve">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F71EDD" w:rsidRDefault="00F71EDD" w:rsidP="00F71EDD">
      <w:pPr>
        <w:pStyle w:val="Standard"/>
        <w:spacing w:line="300" w:lineRule="auto"/>
        <w:ind w:firstLine="709"/>
        <w:jc w:val="both"/>
      </w:pPr>
      <w:r>
        <w:rPr>
          <w:rFonts w:eastAsia="Arial" w:cs="Arial"/>
          <w:sz w:val="28"/>
          <w:szCs w:val="28"/>
          <w:u w:val="single"/>
        </w:rPr>
        <w:t>гарантирующий поставщик электрической энергии (далее - гарантирующий поставщик)</w:t>
      </w:r>
      <w:r>
        <w:rPr>
          <w:rFonts w:eastAsia="Arial" w:cs="Arial"/>
          <w:sz w:val="28"/>
          <w:szCs w:val="28"/>
        </w:rPr>
        <w:t xml:space="preserve"> - коммерческая организация, обязанная в соответствии с настоящим Федерал</w:t>
      </w:r>
      <w:r>
        <w:rPr>
          <w:rFonts w:eastAsia="Arial" w:cs="Arial"/>
          <w:color w:val="000000"/>
          <w:sz w:val="28"/>
          <w:szCs w:val="28"/>
        </w:rPr>
        <w:t xml:space="preserve">ьным законом </w:t>
      </w:r>
      <w:r>
        <w:rPr>
          <w:rFonts w:eastAsia="Arial" w:cs="Arial"/>
          <w:sz w:val="28"/>
          <w:szCs w:val="28"/>
        </w:rPr>
        <w:t>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F71EDD" w:rsidRDefault="00F71EDD" w:rsidP="00F71EDD">
      <w:pPr>
        <w:pStyle w:val="Textbody"/>
        <w:spacing w:line="300" w:lineRule="auto"/>
        <w:ind w:firstLine="709"/>
        <w:rPr>
          <w:sz w:val="28"/>
          <w:szCs w:val="28"/>
        </w:rPr>
      </w:pPr>
      <w:r>
        <w:rPr>
          <w:sz w:val="28"/>
          <w:szCs w:val="28"/>
        </w:rPr>
        <w:t xml:space="preserve">В соответствии с Общероссийским классификатором видов экономической деятельности, продукции и услуг </w:t>
      </w:r>
      <w:r>
        <w:rPr>
          <w:bCs/>
          <w:sz w:val="28"/>
          <w:szCs w:val="28"/>
        </w:rPr>
        <w:t xml:space="preserve">ОК 029-2007 (ОКВЭД) </w:t>
      </w:r>
      <w:r>
        <w:rPr>
          <w:sz w:val="28"/>
          <w:szCs w:val="28"/>
        </w:rPr>
        <w:t>для описания продуктовых границ рассматриваемых товаров выбираем классы продукции:</w:t>
      </w:r>
    </w:p>
    <w:p w:rsidR="00F71EDD" w:rsidRDefault="00F71EDD" w:rsidP="00F71EDD">
      <w:pPr>
        <w:pStyle w:val="Textbody"/>
        <w:numPr>
          <w:ilvl w:val="0"/>
          <w:numId w:val="5"/>
        </w:numPr>
        <w:spacing w:line="300" w:lineRule="auto"/>
        <w:ind w:left="0" w:firstLine="709"/>
        <w:rPr>
          <w:sz w:val="28"/>
          <w:szCs w:val="28"/>
        </w:rPr>
      </w:pPr>
      <w:r>
        <w:rPr>
          <w:sz w:val="28"/>
          <w:szCs w:val="28"/>
        </w:rPr>
        <w:t>40.13.2 - торговля электроэнергией.</w:t>
      </w:r>
    </w:p>
    <w:p w:rsidR="00F71EDD" w:rsidRDefault="00F71EDD" w:rsidP="00F71EDD">
      <w:pPr>
        <w:pStyle w:val="Textbody"/>
        <w:spacing w:line="300" w:lineRule="auto"/>
        <w:ind w:firstLine="709"/>
        <w:rPr>
          <w:sz w:val="28"/>
          <w:szCs w:val="28"/>
        </w:rPr>
      </w:pPr>
      <w:r>
        <w:rPr>
          <w:sz w:val="28"/>
          <w:szCs w:val="28"/>
        </w:rPr>
        <w:lastRenderedPageBreak/>
        <w:t>Электрическая энергия  по своим функциональным назначениям не может быть сравнима с другими товарами, таким образом, взаимозаменяемые товары на рассматриваемом рынке отсутствуют.</w:t>
      </w:r>
    </w:p>
    <w:p w:rsidR="00F71EDD" w:rsidRDefault="00F71EDD" w:rsidP="00F71EDD">
      <w:pPr>
        <w:pStyle w:val="a7"/>
        <w:spacing w:before="240" w:line="300" w:lineRule="auto"/>
        <w:ind w:firstLine="709"/>
        <w:jc w:val="center"/>
        <w:rPr>
          <w:b/>
          <w:bCs/>
          <w:sz w:val="28"/>
          <w:szCs w:val="28"/>
        </w:rPr>
      </w:pPr>
    </w:p>
    <w:p w:rsidR="00F71EDD" w:rsidRDefault="00F71EDD" w:rsidP="00F71EDD">
      <w:pPr>
        <w:pStyle w:val="a7"/>
        <w:spacing w:before="240" w:line="300" w:lineRule="auto"/>
        <w:ind w:firstLine="709"/>
        <w:jc w:val="center"/>
        <w:rPr>
          <w:b/>
          <w:bCs/>
          <w:sz w:val="28"/>
          <w:szCs w:val="28"/>
        </w:rPr>
      </w:pPr>
      <w:r>
        <w:rPr>
          <w:b/>
          <w:bCs/>
          <w:sz w:val="28"/>
          <w:szCs w:val="28"/>
        </w:rPr>
        <w:t>Определение географических границ рынка</w:t>
      </w:r>
    </w:p>
    <w:p w:rsidR="00F71EDD" w:rsidRDefault="00F71EDD" w:rsidP="00F71EDD">
      <w:pPr>
        <w:pStyle w:val="a7"/>
        <w:spacing w:before="0" w:after="113" w:line="300" w:lineRule="auto"/>
        <w:ind w:firstLine="709"/>
        <w:jc w:val="both"/>
        <w:rPr>
          <w:sz w:val="28"/>
          <w:szCs w:val="28"/>
        </w:rPr>
      </w:pPr>
      <w:r>
        <w:rPr>
          <w:sz w:val="28"/>
          <w:szCs w:val="28"/>
        </w:rPr>
        <w:t>При определении географических границ рынка учитывалось соответствие границ зон деятельности хозяйствующих субъектов, которым присвоен  статус гарантирующего поставщика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(далее — Основные положения).</w:t>
      </w:r>
    </w:p>
    <w:p w:rsidR="00F71EDD" w:rsidRDefault="00F71EDD" w:rsidP="00F71EDD">
      <w:pPr>
        <w:pStyle w:val="a7"/>
        <w:spacing w:before="0" w:after="0" w:line="300" w:lineRule="auto"/>
        <w:ind w:firstLine="709"/>
        <w:jc w:val="right"/>
        <w:rPr>
          <w:i/>
          <w:iCs/>
        </w:rPr>
      </w:pPr>
      <w:r>
        <w:rPr>
          <w:i/>
          <w:iCs/>
        </w:rPr>
        <w:t>Таблица №1. Населенные пункты Чукотского автономного округа</w:t>
      </w:r>
    </w:p>
    <w:tbl>
      <w:tblPr>
        <w:tblW w:w="14564" w:type="dxa"/>
        <w:jc w:val="right"/>
        <w:tblLayout w:type="fixed"/>
        <w:tblCellMar>
          <w:left w:w="10" w:type="dxa"/>
          <w:right w:w="10" w:type="dxa"/>
        </w:tblCellMar>
        <w:tblLook w:val="0000" w:firstRow="0" w:lastRow="0" w:firstColumn="0" w:lastColumn="0" w:noHBand="0" w:noVBand="0"/>
      </w:tblPr>
      <w:tblGrid>
        <w:gridCol w:w="435"/>
        <w:gridCol w:w="1485"/>
        <w:gridCol w:w="3780"/>
        <w:gridCol w:w="8864"/>
      </w:tblGrid>
      <w:tr w:rsidR="00F71EDD" w:rsidTr="000C380A">
        <w:tblPrEx>
          <w:tblCellMar>
            <w:top w:w="0" w:type="dxa"/>
            <w:bottom w:w="0" w:type="dxa"/>
          </w:tblCellMar>
        </w:tblPrEx>
        <w:trPr>
          <w:jc w:val="right"/>
        </w:trPr>
        <w:tc>
          <w:tcPr>
            <w:tcW w:w="43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w:t>
            </w:r>
          </w:p>
        </w:tc>
        <w:tc>
          <w:tcPr>
            <w:tcW w:w="14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Субъект РФ</w:t>
            </w:r>
          </w:p>
        </w:tc>
        <w:tc>
          <w:tcPr>
            <w:tcW w:w="378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Муниципальное образование</w:t>
            </w:r>
          </w:p>
        </w:tc>
        <w:tc>
          <w:tcPr>
            <w:tcW w:w="88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Городские и сельские поселения</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1</w:t>
            </w:r>
          </w:p>
        </w:tc>
        <w:tc>
          <w:tcPr>
            <w:tcW w:w="1485" w:type="dxa"/>
            <w:vMerge w:val="restart"/>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Чукотский автономный округ</w:t>
            </w:r>
          </w:p>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Городской округ Анадырь</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 Анадырь, сельское поселение Тавайваам</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2</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Анадырский муниципальный район</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Городское поселение: Угольные Копи, Беринговский, сельское поселение: Канчалан, Ваеги, Ламутское, Марково, Снежное, Усть-Белая, Чуванское, Алькатваам, Мейныпильгыно,Хатырка</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3</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Билибинский муниципальный район</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Городское поселение: Билибино, сельское поселение: Анюйск, Илирней, Омолон, Островное</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4</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Городской округ Певек</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Городское поселение: Певек, сельское поселение: Рыткучи, Айон, Биллингс</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5</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Городской округ Провидения</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Городское поселение: пгт Провидения, сельское поселение: Новое Чаплино, Нунлигран, Сиреники, Энмелен, Янракыннот</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6</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Чукотский муниципальный район</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Сельское поселение: Инчоун, Лаврентия, Лорино, Нешкан, Уэлен, Энурмино</w:t>
            </w:r>
          </w:p>
        </w:tc>
      </w:tr>
      <w:tr w:rsidR="00F71EDD" w:rsidTr="000C380A">
        <w:tblPrEx>
          <w:tblCellMar>
            <w:top w:w="0" w:type="dxa"/>
            <w:bottom w:w="0" w:type="dxa"/>
          </w:tblCellMar>
        </w:tblPrEx>
        <w:trPr>
          <w:jc w:val="right"/>
        </w:trPr>
        <w:tc>
          <w:tcPr>
            <w:tcW w:w="435"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7</w:t>
            </w:r>
          </w:p>
        </w:tc>
        <w:tc>
          <w:tcPr>
            <w:tcW w:w="1485" w:type="dxa"/>
            <w:vMerge/>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tc>
        <w:tc>
          <w:tcPr>
            <w:tcW w:w="378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Городской округ Эгвекинот</w:t>
            </w:r>
          </w:p>
        </w:tc>
        <w:tc>
          <w:tcPr>
            <w:tcW w:w="8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both"/>
              <w:rPr>
                <w:sz w:val="24"/>
                <w:szCs w:val="24"/>
              </w:rPr>
            </w:pPr>
            <w:r>
              <w:rPr>
                <w:sz w:val="24"/>
                <w:szCs w:val="24"/>
              </w:rPr>
              <w:t>Городское поселение: пгт Эгвекинот, Мыс Шмидта, сельское поселение: Амгуэма, Ванкарем, Конергино, Нутэпэльмен, Рыркайпий, Уэлькаль</w:t>
            </w:r>
          </w:p>
        </w:tc>
      </w:tr>
    </w:tbl>
    <w:p w:rsidR="00F71EDD" w:rsidRDefault="00F71EDD" w:rsidP="00F71EDD">
      <w:pPr>
        <w:pStyle w:val="TableContents"/>
        <w:jc w:val="center"/>
        <w:rPr>
          <w:sz w:val="24"/>
          <w:szCs w:val="24"/>
        </w:rPr>
      </w:pPr>
      <w:r>
        <w:rPr>
          <w:sz w:val="24"/>
          <w:szCs w:val="24"/>
        </w:rPr>
        <w:t xml:space="preserve">  </w:t>
      </w:r>
    </w:p>
    <w:p w:rsidR="00F71EDD" w:rsidRDefault="00F71EDD" w:rsidP="00F71EDD">
      <w:pPr>
        <w:pStyle w:val="a7"/>
        <w:spacing w:before="0" w:after="0" w:line="300" w:lineRule="auto"/>
        <w:ind w:firstLine="709"/>
        <w:jc w:val="both"/>
        <w:rPr>
          <w:sz w:val="28"/>
          <w:szCs w:val="28"/>
        </w:rPr>
      </w:pPr>
      <w:r>
        <w:rPr>
          <w:sz w:val="28"/>
          <w:szCs w:val="28"/>
        </w:rPr>
        <w:t xml:space="preserve">В рамках данного анализа географическими границами данного рынка приняты географические границы Чукотского автономного округа.  </w:t>
      </w:r>
    </w:p>
    <w:p w:rsidR="00F71EDD" w:rsidRDefault="00F71EDD" w:rsidP="00F71EDD">
      <w:pPr>
        <w:pStyle w:val="a7"/>
        <w:spacing w:before="240" w:line="300" w:lineRule="auto"/>
        <w:ind w:firstLine="709"/>
        <w:jc w:val="center"/>
        <w:rPr>
          <w:b/>
          <w:bCs/>
          <w:sz w:val="28"/>
          <w:szCs w:val="28"/>
        </w:rPr>
      </w:pPr>
      <w:r>
        <w:rPr>
          <w:b/>
          <w:bCs/>
          <w:sz w:val="28"/>
          <w:szCs w:val="28"/>
        </w:rPr>
        <w:lastRenderedPageBreak/>
        <w:t>Определение состава хозяйствующих субъектов, действующих на рынке</w:t>
      </w:r>
    </w:p>
    <w:p w:rsidR="00F71EDD" w:rsidRDefault="00F71EDD" w:rsidP="00F71EDD">
      <w:pPr>
        <w:pStyle w:val="a7"/>
        <w:spacing w:before="0" w:after="0" w:line="300" w:lineRule="auto"/>
        <w:ind w:firstLine="709"/>
        <w:jc w:val="both"/>
        <w:rPr>
          <w:sz w:val="28"/>
          <w:szCs w:val="28"/>
        </w:rPr>
      </w:pPr>
      <w:r>
        <w:rPr>
          <w:sz w:val="28"/>
          <w:szCs w:val="28"/>
        </w:rPr>
        <w:t>В состав хозяйствующих субъектов, действующих на розничных рынках электрической энергии (мощности), включаются хозяйствующие субъекты, реализующие в их границах электрическую энергию (мощность) в пределах определенного временного интервала исследования.</w:t>
      </w:r>
    </w:p>
    <w:p w:rsidR="00F71EDD" w:rsidRDefault="00F71EDD" w:rsidP="00F71EDD">
      <w:pPr>
        <w:pStyle w:val="a7"/>
        <w:spacing w:before="0" w:after="0" w:line="300" w:lineRule="auto"/>
        <w:ind w:firstLine="709"/>
        <w:jc w:val="both"/>
        <w:rPr>
          <w:sz w:val="28"/>
          <w:szCs w:val="28"/>
        </w:rPr>
      </w:pPr>
      <w:r>
        <w:rPr>
          <w:sz w:val="28"/>
          <w:szCs w:val="28"/>
        </w:rPr>
        <w:t>На основании информации, полученной при определении временного интервала исследования, определены хозяйствующие субъекты, действующие на рынке, для которых устанавливаются позволяющие их идентифицировать данные:</w:t>
      </w:r>
    </w:p>
    <w:p w:rsidR="00F71EDD" w:rsidRDefault="00F71EDD" w:rsidP="00F71EDD">
      <w:pPr>
        <w:pStyle w:val="Textbody"/>
        <w:spacing w:after="283"/>
        <w:jc w:val="right"/>
        <w:rPr>
          <w:i/>
          <w:szCs w:val="24"/>
        </w:rPr>
      </w:pPr>
      <w:r>
        <w:rPr>
          <w:i/>
          <w:szCs w:val="24"/>
        </w:rPr>
        <w:t>Таблица № 2. Перечень хозяйствующих субъектов,действующих на розничных рынках электрической энергии (мощности)</w:t>
      </w:r>
    </w:p>
    <w:tbl>
      <w:tblPr>
        <w:tblW w:w="14520" w:type="dxa"/>
        <w:tblInd w:w="60" w:type="dxa"/>
        <w:tblLayout w:type="fixed"/>
        <w:tblCellMar>
          <w:left w:w="10" w:type="dxa"/>
          <w:right w:w="10" w:type="dxa"/>
        </w:tblCellMar>
        <w:tblLook w:val="0000" w:firstRow="0" w:lastRow="0" w:firstColumn="0" w:lastColumn="0" w:noHBand="0" w:noVBand="0"/>
      </w:tblPr>
      <w:tblGrid>
        <w:gridCol w:w="569"/>
        <w:gridCol w:w="5176"/>
        <w:gridCol w:w="4830"/>
        <w:gridCol w:w="3945"/>
      </w:tblGrid>
      <w:tr w:rsidR="00F71EDD" w:rsidTr="000C380A">
        <w:tblPrEx>
          <w:tblCellMar>
            <w:top w:w="0" w:type="dxa"/>
            <w:bottom w:w="0" w:type="dxa"/>
          </w:tblCellMar>
        </w:tblPrEx>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 xml:space="preserve"> № п/п</w:t>
            </w:r>
          </w:p>
        </w:tc>
        <w:tc>
          <w:tcPr>
            <w:tcW w:w="5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Полное наименование (организационно-правовая форма)</w:t>
            </w:r>
          </w:p>
        </w:tc>
        <w:tc>
          <w:tcPr>
            <w:tcW w:w="4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Юридический адрес</w:t>
            </w:r>
          </w:p>
        </w:tc>
        <w:tc>
          <w:tcPr>
            <w:tcW w:w="3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о присвоении/утрате статуса гарантирующего поставщика</w:t>
            </w:r>
          </w:p>
        </w:tc>
      </w:tr>
      <w:tr w:rsidR="00F71EDD" w:rsidTr="000C380A">
        <w:tblPrEx>
          <w:tblCellMar>
            <w:top w:w="0" w:type="dxa"/>
            <w:bottom w:w="0" w:type="dxa"/>
          </w:tblCellMar>
        </w:tblPrEx>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jc w:val="center"/>
            </w:pPr>
            <w:r>
              <w:t>1</w:t>
            </w:r>
          </w:p>
        </w:tc>
        <w:tc>
          <w:tcPr>
            <w:tcW w:w="5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jc w:val="center"/>
            </w:pPr>
            <w:r>
              <w:t>2</w:t>
            </w:r>
          </w:p>
        </w:tc>
        <w:tc>
          <w:tcPr>
            <w:tcW w:w="4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jc w:val="center"/>
            </w:pPr>
            <w:r>
              <w:t>3</w:t>
            </w:r>
          </w:p>
        </w:tc>
        <w:tc>
          <w:tcPr>
            <w:tcW w:w="3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jc w:val="center"/>
            </w:pPr>
            <w:r>
              <w:t>4</w:t>
            </w:r>
          </w:p>
        </w:tc>
      </w:tr>
      <w:tr w:rsidR="00F71EDD" w:rsidTr="000C380A">
        <w:tblPrEx>
          <w:tblCellMar>
            <w:top w:w="0" w:type="dxa"/>
            <w:bottom w:w="0" w:type="dxa"/>
          </w:tblCellMar>
        </w:tblPrEx>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1</w:t>
            </w:r>
          </w:p>
        </w:tc>
        <w:tc>
          <w:tcPr>
            <w:tcW w:w="5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Акционерное общество «Чукотэнерго»</w:t>
            </w:r>
          </w:p>
        </w:tc>
        <w:tc>
          <w:tcPr>
            <w:tcW w:w="4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689000, Чукотский АО, г. Анадырь, ул. Рультытегина, д. 35-а</w:t>
            </w:r>
          </w:p>
        </w:tc>
        <w:tc>
          <w:tcPr>
            <w:tcW w:w="3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ФСТ от 29.12.2006 г. № 252-э</w:t>
            </w:r>
          </w:p>
        </w:tc>
      </w:tr>
      <w:tr w:rsidR="00F71EDD" w:rsidTr="000C380A">
        <w:tblPrEx>
          <w:tblCellMar>
            <w:top w:w="0" w:type="dxa"/>
            <w:bottom w:w="0" w:type="dxa"/>
          </w:tblCellMar>
        </w:tblPrEx>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2</w:t>
            </w:r>
          </w:p>
        </w:tc>
        <w:tc>
          <w:tcPr>
            <w:tcW w:w="51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Standard"/>
              <w:jc w:val="center"/>
              <w:rPr>
                <w:sz w:val="24"/>
                <w:szCs w:val="24"/>
              </w:rPr>
            </w:pPr>
            <w:r>
              <w:rPr>
                <w:sz w:val="24"/>
                <w:szCs w:val="24"/>
              </w:rPr>
              <w:t>Общество с ограниченной ответственностью «Электро-Инчоун»</w:t>
            </w:r>
          </w:p>
        </w:tc>
        <w:tc>
          <w:tcPr>
            <w:tcW w:w="4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689202, Чукотский АО, Иультинский район, п. Эгвекинот, ул. Ленина, д. 12</w:t>
            </w:r>
          </w:p>
        </w:tc>
        <w:tc>
          <w:tcPr>
            <w:tcW w:w="39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ФСТ от 25.03.2015 № 489-э</w:t>
            </w:r>
          </w:p>
        </w:tc>
      </w:tr>
      <w:tr w:rsidR="00F71EDD" w:rsidTr="000C380A">
        <w:tblPrEx>
          <w:tblCellMar>
            <w:top w:w="0" w:type="dxa"/>
            <w:bottom w:w="0" w:type="dxa"/>
          </w:tblCellMar>
        </w:tblPrEx>
        <w:tc>
          <w:tcPr>
            <w:tcW w:w="5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3</w:t>
            </w:r>
          </w:p>
        </w:tc>
        <w:tc>
          <w:tcPr>
            <w:tcW w:w="51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предприятие жилищно-коммунального хозяйства Билибинского муницпального района</w:t>
            </w:r>
          </w:p>
        </w:tc>
        <w:tc>
          <w:tcPr>
            <w:tcW w:w="48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689450, Чукотский АО, г. Билибино, ул. Геологов, д. 1а</w:t>
            </w:r>
          </w:p>
        </w:tc>
        <w:tc>
          <w:tcPr>
            <w:tcW w:w="394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ФСТ от 29.12.2006 № 252-э</w:t>
            </w:r>
          </w:p>
        </w:tc>
      </w:tr>
      <w:tr w:rsidR="00F71EDD" w:rsidTr="000C380A">
        <w:tblPrEx>
          <w:tblCellMar>
            <w:top w:w="0" w:type="dxa"/>
            <w:bottom w:w="0" w:type="dxa"/>
          </w:tblCellMar>
        </w:tblPrEx>
        <w:tc>
          <w:tcPr>
            <w:tcW w:w="5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4</w:t>
            </w:r>
          </w:p>
        </w:tc>
        <w:tc>
          <w:tcPr>
            <w:tcW w:w="51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Государственное предприятие Чукотского автономного округа «Чукотскоммунхоз»</w:t>
            </w:r>
          </w:p>
        </w:tc>
        <w:tc>
          <w:tcPr>
            <w:tcW w:w="48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689000, Чукотский АО, г. Анадырь, ул. Рультытегина, д. 24</w:t>
            </w:r>
          </w:p>
        </w:tc>
        <w:tc>
          <w:tcPr>
            <w:tcW w:w="394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ФСТ от 29.12.2006 № 252-э</w:t>
            </w:r>
          </w:p>
        </w:tc>
      </w:tr>
      <w:tr w:rsidR="00F71EDD" w:rsidTr="000C380A">
        <w:tblPrEx>
          <w:tblCellMar>
            <w:top w:w="0" w:type="dxa"/>
            <w:bottom w:w="0" w:type="dxa"/>
          </w:tblCellMar>
        </w:tblPrEx>
        <w:tc>
          <w:tcPr>
            <w:tcW w:w="5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5</w:t>
            </w:r>
          </w:p>
        </w:tc>
        <w:tc>
          <w:tcPr>
            <w:tcW w:w="51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унитарное предприятие жилищно-коммунального хозяйства «Иультинское»</w:t>
            </w:r>
          </w:p>
        </w:tc>
        <w:tc>
          <w:tcPr>
            <w:tcW w:w="48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689202, Чукотский АО, Иультинский район, п. Эгвекинот, ул. Ленина, д. 18</w:t>
            </w:r>
          </w:p>
        </w:tc>
        <w:tc>
          <w:tcPr>
            <w:tcW w:w="394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ФАС России от 11.08.2015 г. № 710/15</w:t>
            </w:r>
          </w:p>
        </w:tc>
      </w:tr>
      <w:tr w:rsidR="00F71EDD" w:rsidTr="000C380A">
        <w:tblPrEx>
          <w:tblCellMar>
            <w:top w:w="0" w:type="dxa"/>
            <w:bottom w:w="0" w:type="dxa"/>
          </w:tblCellMar>
        </w:tblPrEx>
        <w:tc>
          <w:tcPr>
            <w:tcW w:w="5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w:t>
            </w:r>
          </w:p>
        </w:tc>
        <w:tc>
          <w:tcPr>
            <w:tcW w:w="51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унитарное предприятие муниципального образования Чукотский муниципальный район «Айсберг»</w:t>
            </w:r>
          </w:p>
        </w:tc>
        <w:tc>
          <w:tcPr>
            <w:tcW w:w="48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689300, Чукотский АО, Чукотский район, с. Лаврентия, ул. Дежнева, д. 48</w:t>
            </w:r>
          </w:p>
        </w:tc>
        <w:tc>
          <w:tcPr>
            <w:tcW w:w="394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ФАС России от 26.05.2016 № 670/16</w:t>
            </w:r>
          </w:p>
        </w:tc>
      </w:tr>
      <w:tr w:rsidR="00F71EDD" w:rsidTr="000C380A">
        <w:tblPrEx>
          <w:tblCellMar>
            <w:top w:w="0" w:type="dxa"/>
            <w:bottom w:w="0" w:type="dxa"/>
          </w:tblCellMar>
        </w:tblPrEx>
        <w:tc>
          <w:tcPr>
            <w:tcW w:w="5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7</w:t>
            </w:r>
          </w:p>
        </w:tc>
        <w:tc>
          <w:tcPr>
            <w:tcW w:w="51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предприятие «Чаунское районное коммунальное хозяйство»</w:t>
            </w:r>
          </w:p>
        </w:tc>
        <w:tc>
          <w:tcPr>
            <w:tcW w:w="483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689400, Чукотский АО, Чаунский район, г. Певек, ул. Пугачева, д. 42/2</w:t>
            </w:r>
          </w:p>
        </w:tc>
        <w:tc>
          <w:tcPr>
            <w:tcW w:w="394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Приказ ФСТ России от 25.03.2015 № 489-э</w:t>
            </w:r>
          </w:p>
        </w:tc>
      </w:tr>
    </w:tbl>
    <w:p w:rsidR="00F71EDD" w:rsidRDefault="00F71EDD" w:rsidP="00F71EDD">
      <w:pPr>
        <w:pStyle w:val="a7"/>
        <w:spacing w:before="0" w:after="0" w:line="300" w:lineRule="auto"/>
        <w:ind w:firstLine="709"/>
        <w:jc w:val="both"/>
      </w:pPr>
    </w:p>
    <w:p w:rsidR="00F71EDD" w:rsidRDefault="00F71EDD" w:rsidP="00F71EDD">
      <w:pPr>
        <w:pStyle w:val="a7"/>
        <w:spacing w:before="0" w:after="0" w:line="300" w:lineRule="auto"/>
        <w:ind w:firstLine="709"/>
        <w:jc w:val="both"/>
        <w:rPr>
          <w:sz w:val="28"/>
          <w:szCs w:val="28"/>
        </w:rPr>
      </w:pPr>
      <w:r>
        <w:rPr>
          <w:sz w:val="28"/>
          <w:szCs w:val="28"/>
        </w:rPr>
        <w:lastRenderedPageBreak/>
        <w:t>Также были проанализированы данные хозяйствующие субъекты на принадлежность к группе лиц по признакам указанных в статье 9 Закона о защите конкуренции. На розничном рынке электрической энергии (мощности) на территории Чукотского автономного округа хозяйствующие субъекты составляющие группу лиц не выявлены.</w:t>
      </w:r>
    </w:p>
    <w:p w:rsidR="00F71EDD" w:rsidRDefault="00F71EDD" w:rsidP="00F71EDD">
      <w:pPr>
        <w:pStyle w:val="a7"/>
        <w:spacing w:before="113" w:after="113" w:line="300" w:lineRule="auto"/>
        <w:jc w:val="center"/>
        <w:rPr>
          <w:b/>
          <w:bCs/>
          <w:sz w:val="28"/>
          <w:szCs w:val="28"/>
        </w:rPr>
      </w:pPr>
    </w:p>
    <w:p w:rsidR="00F71EDD" w:rsidRDefault="00F71EDD" w:rsidP="00F71EDD">
      <w:pPr>
        <w:pStyle w:val="a7"/>
        <w:spacing w:before="113" w:after="113" w:line="300" w:lineRule="auto"/>
        <w:jc w:val="center"/>
        <w:rPr>
          <w:b/>
          <w:bCs/>
          <w:sz w:val="28"/>
          <w:szCs w:val="28"/>
        </w:rPr>
      </w:pPr>
    </w:p>
    <w:p w:rsidR="00F71EDD" w:rsidRDefault="00F71EDD" w:rsidP="00F71EDD">
      <w:pPr>
        <w:pStyle w:val="a7"/>
        <w:spacing w:before="113" w:after="113" w:line="300" w:lineRule="auto"/>
        <w:jc w:val="center"/>
        <w:rPr>
          <w:b/>
          <w:bCs/>
          <w:sz w:val="28"/>
          <w:szCs w:val="28"/>
        </w:rPr>
      </w:pPr>
      <w:r>
        <w:rPr>
          <w:b/>
          <w:bCs/>
          <w:sz w:val="28"/>
          <w:szCs w:val="28"/>
        </w:rPr>
        <w:t>Объем товарного рынка и доли хозяйствующих субъектов на товарном рынке</w:t>
      </w:r>
    </w:p>
    <w:p w:rsidR="00F71EDD" w:rsidRDefault="00F71EDD" w:rsidP="00F71EDD">
      <w:pPr>
        <w:pStyle w:val="a7"/>
        <w:spacing w:before="0" w:after="0" w:line="300" w:lineRule="auto"/>
        <w:ind w:firstLine="709"/>
        <w:jc w:val="both"/>
        <w:rPr>
          <w:sz w:val="28"/>
          <w:szCs w:val="28"/>
        </w:rPr>
      </w:pPr>
      <w:r>
        <w:rPr>
          <w:sz w:val="28"/>
          <w:szCs w:val="28"/>
        </w:rPr>
        <w:t>Расчет общего объема электрической энергии за исследуемый период в продуктовых и географических границах рассматриваемого рынка и долей энергосбытовых организаций и производителей электрической энергии (мощности) на розничных рынках производится на основании объема продаж (поставок) в натуральном выражении (кВт.ч).</w:t>
      </w:r>
    </w:p>
    <w:p w:rsidR="00F71EDD" w:rsidRDefault="00F71EDD" w:rsidP="00F71EDD">
      <w:pPr>
        <w:pStyle w:val="a7"/>
        <w:spacing w:before="0" w:after="0" w:line="300" w:lineRule="auto"/>
        <w:ind w:firstLine="709"/>
        <w:jc w:val="both"/>
        <w:rPr>
          <w:sz w:val="28"/>
          <w:szCs w:val="28"/>
        </w:rPr>
      </w:pPr>
      <w:r>
        <w:rPr>
          <w:sz w:val="28"/>
          <w:szCs w:val="28"/>
        </w:rPr>
        <w:t>Объем розничных рынков электрической энергии определяется как сумма объемов продажи (поставки) электрической энергии (мощности) энергосбытовыми организациями (в том числе гарантирующие поставщики), производителями электрической энергии (мощности) на розничных рынках, осуществляющими деятельность по купле-продаже (поставке) электрической энергии (мощности) в соответствующих географических границах.</w:t>
      </w:r>
    </w:p>
    <w:p w:rsidR="00F71EDD" w:rsidRDefault="00F71EDD" w:rsidP="00F71EDD">
      <w:pPr>
        <w:pStyle w:val="a7"/>
        <w:spacing w:before="0" w:after="0" w:line="300" w:lineRule="auto"/>
        <w:ind w:firstLine="709"/>
        <w:jc w:val="both"/>
        <w:rPr>
          <w:sz w:val="28"/>
          <w:szCs w:val="28"/>
        </w:rPr>
      </w:pPr>
      <w:r>
        <w:rPr>
          <w:sz w:val="28"/>
          <w:szCs w:val="28"/>
        </w:rPr>
        <w:t>Доля хозяйствующего субъекта на розничных рынках электрической энергии (мощности)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рассматриваемом товарном рынке, к показателю, характеризующему объем рассматриваемого товарного рынка.</w:t>
      </w:r>
    </w:p>
    <w:p w:rsidR="00F71EDD" w:rsidRDefault="00F71EDD" w:rsidP="00F71EDD">
      <w:pPr>
        <w:pStyle w:val="1"/>
        <w:spacing w:before="0" w:after="0" w:line="300" w:lineRule="auto"/>
        <w:ind w:firstLine="709"/>
        <w:jc w:val="both"/>
        <w:rPr>
          <w:rFonts w:ascii="Times New Roman" w:hAnsi="Times New Roman"/>
          <w:b w:val="0"/>
          <w:color w:val="00000A"/>
          <w:sz w:val="28"/>
          <w:szCs w:val="28"/>
        </w:rPr>
      </w:pPr>
      <w:r>
        <w:rPr>
          <w:rFonts w:ascii="Times New Roman" w:hAnsi="Times New Roman"/>
          <w:b w:val="0"/>
          <w:color w:val="00000A"/>
          <w:sz w:val="28"/>
          <w:szCs w:val="28"/>
        </w:rPr>
        <w:t>Деятельность хозяйствующих субъектов, предоставляющих услуги по обеспечению потребителей электрической энергией, относится к неконкурентной сфере. В неконкурентных сферах деятельности для предприятий, оказывающих услуги по передаче электрической энергии географическими границами зон деятельности гарантирующего поставщика, в которых предприятия осуществляют свою деятельность, является территория, охваченная присоединенной сетью данного предприятия. Доля хозяйствующего субъекта на данном товарном рынке на каждой конкретной территории всегда будет 100%.</w:t>
      </w: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p>
    <w:p w:rsidR="00F71EDD" w:rsidRDefault="00F71EDD" w:rsidP="00F71EDD">
      <w:pPr>
        <w:pStyle w:val="Textbody"/>
        <w:spacing w:line="300" w:lineRule="auto"/>
        <w:jc w:val="right"/>
        <w:rPr>
          <w:i/>
          <w:iCs/>
          <w:szCs w:val="24"/>
        </w:rPr>
      </w:pPr>
      <w:r>
        <w:rPr>
          <w:i/>
          <w:iCs/>
          <w:szCs w:val="24"/>
        </w:rPr>
        <w:t>Таблица 3. Расчет объема оказанных услуг</w:t>
      </w:r>
    </w:p>
    <w:tbl>
      <w:tblPr>
        <w:tblW w:w="14700" w:type="dxa"/>
        <w:tblInd w:w="-75" w:type="dxa"/>
        <w:tblLayout w:type="fixed"/>
        <w:tblCellMar>
          <w:left w:w="10" w:type="dxa"/>
          <w:right w:w="10" w:type="dxa"/>
        </w:tblCellMar>
        <w:tblLook w:val="0000" w:firstRow="0" w:lastRow="0" w:firstColumn="0" w:lastColumn="0" w:noHBand="0" w:noVBand="0"/>
      </w:tblPr>
      <w:tblGrid>
        <w:gridCol w:w="479"/>
        <w:gridCol w:w="3030"/>
        <w:gridCol w:w="1891"/>
        <w:gridCol w:w="1395"/>
        <w:gridCol w:w="1320"/>
        <w:gridCol w:w="6585"/>
      </w:tblGrid>
      <w:tr w:rsidR="00F71EDD" w:rsidTr="000C380A">
        <w:tblPrEx>
          <w:tblCellMar>
            <w:top w:w="0" w:type="dxa"/>
            <w:bottom w:w="0" w:type="dxa"/>
          </w:tblCellMar>
        </w:tblPrEx>
        <w:trPr>
          <w:tblHeader/>
        </w:trPr>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 п/п</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Наименование муниципального образования</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Наименование товара, работ и услуг</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Объем услуги (тыс. кВт.ч.)</w:t>
            </w:r>
          </w:p>
        </w:tc>
        <w:tc>
          <w:tcPr>
            <w:tcW w:w="1320" w:type="dxa"/>
            <w:tcBorders>
              <w:top w:val="single" w:sz="4" w:space="0" w:color="00000A"/>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Доля рынка, %</w:t>
            </w:r>
          </w:p>
        </w:tc>
        <w:tc>
          <w:tcPr>
            <w:tcW w:w="6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Географические границы товарного рынка</w:t>
            </w:r>
          </w:p>
        </w:tc>
      </w:tr>
      <w:tr w:rsidR="00F71EDD" w:rsidTr="000C380A">
        <w:tblPrEx>
          <w:tblCellMar>
            <w:top w:w="0" w:type="dxa"/>
            <w:bottom w:w="0" w:type="dxa"/>
          </w:tblCellMar>
        </w:tblPrEx>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2</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4</w:t>
            </w:r>
          </w:p>
        </w:tc>
        <w:tc>
          <w:tcPr>
            <w:tcW w:w="1320" w:type="dxa"/>
            <w:tcBorders>
              <w:top w:val="single" w:sz="4" w:space="0" w:color="00000A"/>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5</w:t>
            </w:r>
          </w:p>
        </w:tc>
        <w:tc>
          <w:tcPr>
            <w:tcW w:w="6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p>
        </w:tc>
      </w:tr>
      <w:tr w:rsidR="00F71EDD" w:rsidTr="000C380A">
        <w:tblPrEx>
          <w:tblCellMar>
            <w:top w:w="0" w:type="dxa"/>
            <w:bottom w:w="0" w:type="dxa"/>
          </w:tblCellMar>
        </w:tblPrEx>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1</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0" w:lineRule="atLeast"/>
              <w:jc w:val="center"/>
            </w:pPr>
            <w:r>
              <w:t>Акционерное общество «Чукотэнерго»</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298368</w:t>
            </w:r>
          </w:p>
        </w:tc>
        <w:tc>
          <w:tcPr>
            <w:tcW w:w="1320" w:type="dxa"/>
            <w:tcBorders>
              <w:top w:val="single" w:sz="4" w:space="0" w:color="00000A"/>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городских поселений Анадырь, Билибино, Эгвекинот, Певек, сельских поселений Тавайваам, Амгуэма</w:t>
            </w:r>
          </w:p>
        </w:tc>
      </w:tr>
      <w:tr w:rsidR="00F71EDD" w:rsidTr="000C380A">
        <w:tblPrEx>
          <w:tblCellMar>
            <w:top w:w="0" w:type="dxa"/>
            <w:bottom w:w="0" w:type="dxa"/>
          </w:tblCellMar>
        </w:tblPrEx>
        <w:tc>
          <w:tcPr>
            <w:tcW w:w="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2</w:t>
            </w:r>
          </w:p>
        </w:tc>
        <w:tc>
          <w:tcPr>
            <w:tcW w:w="30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Standard"/>
              <w:spacing w:line="0" w:lineRule="atLeast"/>
              <w:jc w:val="center"/>
              <w:rPr>
                <w:sz w:val="24"/>
                <w:szCs w:val="24"/>
              </w:rPr>
            </w:pPr>
            <w:r>
              <w:rPr>
                <w:sz w:val="24"/>
                <w:szCs w:val="24"/>
              </w:rPr>
              <w:t>Общество с ограниченной ответственностью «Электро-Инчоун»</w:t>
            </w:r>
          </w:p>
        </w:tc>
        <w:tc>
          <w:tcPr>
            <w:tcW w:w="18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705,58</w:t>
            </w:r>
          </w:p>
        </w:tc>
        <w:tc>
          <w:tcPr>
            <w:tcW w:w="1320" w:type="dxa"/>
            <w:tcBorders>
              <w:top w:val="single" w:sz="4" w:space="0" w:color="00000A"/>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сельского поселения Инчоун Чукотского муниципального района</w:t>
            </w:r>
          </w:p>
        </w:tc>
      </w:tr>
      <w:tr w:rsidR="00F71EDD" w:rsidTr="000C380A">
        <w:tblPrEx>
          <w:tblCellMar>
            <w:top w:w="0" w:type="dxa"/>
            <w:bottom w:w="0" w:type="dxa"/>
          </w:tblCellMar>
        </w:tblPrEx>
        <w:tc>
          <w:tcPr>
            <w:tcW w:w="479"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3</w:t>
            </w:r>
          </w:p>
        </w:tc>
        <w:tc>
          <w:tcPr>
            <w:tcW w:w="3030" w:type="dxa"/>
            <w:tcBorders>
              <w:left w:val="single" w:sz="4" w:space="0" w:color="00000A"/>
              <w:bottom w:val="single" w:sz="4" w:space="0" w:color="00000A"/>
            </w:tcBorders>
            <w:tcMar>
              <w:top w:w="0" w:type="dxa"/>
              <w:left w:w="108" w:type="dxa"/>
              <w:bottom w:w="0" w:type="dxa"/>
              <w:right w:w="108" w:type="dxa"/>
            </w:tcMar>
            <w:vAlign w:val="center"/>
          </w:tcPr>
          <w:p w:rsidR="00F71EDD" w:rsidRDefault="00F71EDD" w:rsidP="000C380A">
            <w:pPr>
              <w:pStyle w:val="a7"/>
              <w:spacing w:before="0" w:after="0" w:line="0" w:lineRule="atLeast"/>
              <w:jc w:val="center"/>
            </w:pPr>
            <w:r>
              <w:t>Муниципальное предприятие жилищно-коммунального хозяйства Билибинского муниципального района</w:t>
            </w:r>
          </w:p>
        </w:tc>
        <w:tc>
          <w:tcPr>
            <w:tcW w:w="1891"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2668,627</w:t>
            </w:r>
          </w:p>
          <w:p w:rsidR="00F71EDD" w:rsidRDefault="00F71EDD" w:rsidP="000C380A">
            <w:pPr>
              <w:pStyle w:val="a7"/>
              <w:spacing w:before="0" w:after="0" w:line="0" w:lineRule="atLeast"/>
              <w:jc w:val="center"/>
              <w:textAlignment w:val="center"/>
            </w:pPr>
          </w:p>
        </w:tc>
        <w:tc>
          <w:tcPr>
            <w:tcW w:w="132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сельских поселений Анюйск, Илирней, Омолон, Островное Билибинского муниципального района</w:t>
            </w:r>
          </w:p>
        </w:tc>
      </w:tr>
      <w:tr w:rsidR="00F71EDD" w:rsidTr="000C380A">
        <w:tblPrEx>
          <w:tblCellMar>
            <w:top w:w="0" w:type="dxa"/>
            <w:bottom w:w="0" w:type="dxa"/>
          </w:tblCellMar>
        </w:tblPrEx>
        <w:tc>
          <w:tcPr>
            <w:tcW w:w="479"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4</w:t>
            </w:r>
          </w:p>
        </w:tc>
        <w:tc>
          <w:tcPr>
            <w:tcW w:w="30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Муниципальное предприятие «Чаунское районное коммунальное хозяйство»</w:t>
            </w:r>
          </w:p>
        </w:tc>
        <w:tc>
          <w:tcPr>
            <w:tcW w:w="1891"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1155,55</w:t>
            </w:r>
          </w:p>
        </w:tc>
        <w:tc>
          <w:tcPr>
            <w:tcW w:w="132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сельских поселений Рыткучи, Айон, Биллингс Чаунского муниципального района</w:t>
            </w:r>
          </w:p>
        </w:tc>
      </w:tr>
      <w:tr w:rsidR="00F71EDD" w:rsidTr="000C380A">
        <w:tblPrEx>
          <w:tblCellMar>
            <w:top w:w="0" w:type="dxa"/>
            <w:bottom w:w="0" w:type="dxa"/>
          </w:tblCellMar>
        </w:tblPrEx>
        <w:tc>
          <w:tcPr>
            <w:tcW w:w="479"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lastRenderedPageBreak/>
              <w:t>5</w:t>
            </w:r>
          </w:p>
        </w:tc>
        <w:tc>
          <w:tcPr>
            <w:tcW w:w="303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Муниципальное унитарное предприятие жилищно-коммунального хозяйства «Иультинское»</w:t>
            </w:r>
          </w:p>
        </w:tc>
        <w:tc>
          <w:tcPr>
            <w:tcW w:w="1891"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4096,6</w:t>
            </w:r>
          </w:p>
        </w:tc>
        <w:tc>
          <w:tcPr>
            <w:tcW w:w="132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сельских поселений Ванкарем, Конергино, Нутэпэльмен, Уэлькаль, Мыс Шмидта, Рыркайпий</w:t>
            </w:r>
          </w:p>
        </w:tc>
      </w:tr>
      <w:tr w:rsidR="00F71EDD" w:rsidTr="000C380A">
        <w:tblPrEx>
          <w:tblCellMar>
            <w:top w:w="0" w:type="dxa"/>
            <w:bottom w:w="0" w:type="dxa"/>
          </w:tblCellMar>
        </w:tblPrEx>
        <w:tc>
          <w:tcPr>
            <w:tcW w:w="479"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6</w:t>
            </w:r>
          </w:p>
        </w:tc>
        <w:tc>
          <w:tcPr>
            <w:tcW w:w="30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Государственное предприятие Чукотского автономного округа «Чукотскоммунхоз»</w:t>
            </w:r>
          </w:p>
        </w:tc>
        <w:tc>
          <w:tcPr>
            <w:tcW w:w="1891"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36588,8</w:t>
            </w:r>
          </w:p>
        </w:tc>
        <w:tc>
          <w:tcPr>
            <w:tcW w:w="132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Зона деятельности соответствует административным границам Анадырского муниципального района, Провиденского муниципального района.</w:t>
            </w:r>
          </w:p>
        </w:tc>
      </w:tr>
      <w:tr w:rsidR="00F71EDD" w:rsidTr="000C380A">
        <w:tblPrEx>
          <w:tblCellMar>
            <w:top w:w="0" w:type="dxa"/>
            <w:bottom w:w="0" w:type="dxa"/>
          </w:tblCellMar>
        </w:tblPrEx>
        <w:tc>
          <w:tcPr>
            <w:tcW w:w="479"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7</w:t>
            </w:r>
          </w:p>
        </w:tc>
        <w:tc>
          <w:tcPr>
            <w:tcW w:w="3030"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Муниципальное унитарное предприятие муниципального образования Чукотский муниципальный район «Айсберг»</w:t>
            </w:r>
          </w:p>
        </w:tc>
        <w:tc>
          <w:tcPr>
            <w:tcW w:w="1891"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pPr>
            <w:r>
              <w:t>Купля-продажа (поставка) электрической энергии</w:t>
            </w:r>
          </w:p>
        </w:tc>
        <w:tc>
          <w:tcPr>
            <w:tcW w:w="139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12472,55</w:t>
            </w:r>
          </w:p>
        </w:tc>
        <w:tc>
          <w:tcPr>
            <w:tcW w:w="1320" w:type="dxa"/>
            <w:tcBorders>
              <w:left w:val="single" w:sz="4" w:space="0" w:color="00000A"/>
              <w:bottom w:val="single" w:sz="4" w:space="0" w:color="00000A"/>
            </w:tcBorders>
            <w:tcMar>
              <w:top w:w="0" w:type="dxa"/>
              <w:left w:w="108" w:type="dxa"/>
              <w:bottom w:w="0" w:type="dxa"/>
              <w:right w:w="108" w:type="dxa"/>
            </w:tcMar>
          </w:tcPr>
          <w:p w:rsidR="00F71EDD" w:rsidRDefault="00F71EDD" w:rsidP="000C380A">
            <w:pPr>
              <w:pStyle w:val="a7"/>
              <w:spacing w:before="0" w:after="0" w:line="0" w:lineRule="atLeast"/>
              <w:jc w:val="center"/>
              <w:textAlignment w:val="center"/>
            </w:pPr>
            <w:r>
              <w:t>100%</w:t>
            </w:r>
          </w:p>
        </w:tc>
        <w:tc>
          <w:tcPr>
            <w:tcW w:w="6585" w:type="dxa"/>
            <w:tcBorders>
              <w:left w:val="single" w:sz="4" w:space="0" w:color="00000A"/>
              <w:bottom w:val="single" w:sz="4" w:space="0" w:color="00000A"/>
              <w:right w:val="single" w:sz="4" w:space="0" w:color="00000A"/>
            </w:tcBorders>
            <w:tcMar>
              <w:top w:w="0" w:type="dxa"/>
              <w:left w:w="108" w:type="dxa"/>
              <w:bottom w:w="0" w:type="dxa"/>
              <w:right w:w="108" w:type="dxa"/>
            </w:tcMar>
          </w:tcPr>
          <w:p w:rsidR="00F71EDD" w:rsidRDefault="00F71EDD" w:rsidP="000C380A">
            <w:pPr>
              <w:pStyle w:val="a7"/>
              <w:spacing w:before="0" w:after="0" w:line="0" w:lineRule="atLeast"/>
            </w:pPr>
            <w:r>
              <w:t xml:space="preserve">Зона деятельности соответствует административным границам </w:t>
            </w:r>
            <w:r>
              <w:rPr>
                <w:rFonts w:eastAsia="Arial" w:cs="Arial"/>
              </w:rPr>
              <w:t>сельских поселений Лаврентия, Лорино, Нешкан, Уэлен, Энурмино Чукотского муниципального района</w:t>
            </w:r>
          </w:p>
        </w:tc>
      </w:tr>
    </w:tbl>
    <w:p w:rsidR="00F71EDD" w:rsidRDefault="00F71EDD" w:rsidP="00F71EDD">
      <w:pPr>
        <w:pStyle w:val="Textbody"/>
        <w:spacing w:line="30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F71EDD" w:rsidRDefault="00F71EDD" w:rsidP="00F71EDD">
      <w:pPr>
        <w:pStyle w:val="Textbody"/>
        <w:spacing w:line="30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 натуральном выражении объем розничного рынка энергетической энергии (мощности) за 2016 год составил 356055,71 кВтч.</w:t>
      </w:r>
    </w:p>
    <w:p w:rsidR="00F71EDD" w:rsidRDefault="00F71EDD" w:rsidP="00F71EDD">
      <w:pPr>
        <w:pStyle w:val="Textbody"/>
        <w:spacing w:line="300" w:lineRule="auto"/>
        <w:ind w:firstLine="709"/>
        <w:rPr>
          <w:sz w:val="28"/>
          <w:szCs w:val="28"/>
        </w:rPr>
      </w:pPr>
      <w:r>
        <w:rPr>
          <w:color w:val="000000"/>
          <w:sz w:val="28"/>
          <w:szCs w:val="28"/>
        </w:rPr>
        <w:t>По полученны</w:t>
      </w:r>
      <w:r>
        <w:rPr>
          <w:sz w:val="28"/>
          <w:szCs w:val="28"/>
        </w:rPr>
        <w:t>м результатам можно сделать вывод о том, что на данном товарном рынке на территории Чукотского автономного округа действуют 7 (семь) хозяйствующих субъектов, осуществляющих куплю-продажу (поставку) электрической энергии (мощности).</w:t>
      </w:r>
    </w:p>
    <w:p w:rsidR="00F71EDD" w:rsidRDefault="00F71EDD" w:rsidP="00F71EDD">
      <w:pPr>
        <w:pStyle w:val="Textbody"/>
        <w:spacing w:before="113" w:after="113" w:line="300" w:lineRule="auto"/>
        <w:ind w:firstLine="709"/>
        <w:jc w:val="center"/>
        <w:rPr>
          <w:b/>
          <w:bCs/>
          <w:sz w:val="28"/>
          <w:szCs w:val="28"/>
        </w:rPr>
      </w:pPr>
      <w:r>
        <w:rPr>
          <w:b/>
          <w:bCs/>
          <w:sz w:val="28"/>
          <w:szCs w:val="28"/>
        </w:rPr>
        <w:t>Определение барьеров входа на рынок</w:t>
      </w:r>
    </w:p>
    <w:p w:rsidR="00F71EDD" w:rsidRDefault="00F71EDD" w:rsidP="00F71EDD">
      <w:pPr>
        <w:pStyle w:val="a7"/>
        <w:spacing w:before="0" w:after="0" w:line="300" w:lineRule="auto"/>
        <w:ind w:firstLine="709"/>
        <w:jc w:val="both"/>
        <w:rPr>
          <w:sz w:val="28"/>
          <w:szCs w:val="28"/>
        </w:rPr>
      </w:pPr>
      <w:r>
        <w:rPr>
          <w:sz w:val="28"/>
          <w:szCs w:val="28"/>
        </w:rPr>
        <w:t>Барьеры входа на рынок услуг по сбору и транспортированию твердых коммунальных услуг проанализированы с точки зрения возможности потенциальных конкурентов стать участниками данного рынка.</w:t>
      </w:r>
    </w:p>
    <w:p w:rsidR="00F71EDD" w:rsidRDefault="00F71EDD" w:rsidP="00F71EDD">
      <w:pPr>
        <w:pStyle w:val="Textbody"/>
        <w:spacing w:line="300" w:lineRule="auto"/>
        <w:ind w:firstLine="709"/>
        <w:rPr>
          <w:sz w:val="28"/>
          <w:szCs w:val="28"/>
        </w:rPr>
      </w:pPr>
      <w:r>
        <w:rPr>
          <w:sz w:val="28"/>
          <w:szCs w:val="28"/>
        </w:rPr>
        <w:t>Административные препятствия в виде получения соответствующих лицензий на осуществление видов деятельности, государственное регулирование и контроль со стороны Комитета государственного регулирования цен и тарифов Чукотского автономного округа.</w:t>
      </w:r>
    </w:p>
    <w:p w:rsidR="00F71EDD" w:rsidRDefault="00F71EDD" w:rsidP="00F71EDD">
      <w:pPr>
        <w:pStyle w:val="Textbody"/>
        <w:spacing w:line="300" w:lineRule="auto"/>
        <w:ind w:firstLine="709"/>
        <w:rPr>
          <w:sz w:val="28"/>
          <w:szCs w:val="28"/>
        </w:rPr>
      </w:pPr>
      <w:r>
        <w:rPr>
          <w:sz w:val="28"/>
          <w:szCs w:val="28"/>
        </w:rPr>
        <w:lastRenderedPageBreak/>
        <w:t>Кроме этого, для входа на рынок новые хозяйствующие субъекты должны иметь опыт работы в этой сфере деятельности (соответствующие кадры и технологии), определенную материально-техническую базу и экономические возможности.</w:t>
      </w:r>
    </w:p>
    <w:p w:rsidR="00F71EDD" w:rsidRDefault="00F71EDD" w:rsidP="00F71EDD">
      <w:pPr>
        <w:pStyle w:val="Textbody"/>
        <w:spacing w:line="360" w:lineRule="auto"/>
        <w:ind w:firstLine="709"/>
        <w:jc w:val="center"/>
        <w:rPr>
          <w:b/>
          <w:bCs/>
          <w:sz w:val="28"/>
          <w:szCs w:val="28"/>
        </w:rPr>
      </w:pPr>
      <w:r>
        <w:rPr>
          <w:b/>
          <w:bCs/>
          <w:sz w:val="28"/>
          <w:szCs w:val="28"/>
        </w:rPr>
        <w:t>Определение уровня концентрации товарного рынка</w:t>
      </w:r>
    </w:p>
    <w:p w:rsidR="00F71EDD" w:rsidRDefault="00F71EDD" w:rsidP="00F71EDD">
      <w:pPr>
        <w:pStyle w:val="a7"/>
        <w:spacing w:before="0" w:after="0" w:line="300" w:lineRule="auto"/>
        <w:ind w:firstLine="709"/>
        <w:jc w:val="both"/>
        <w:rPr>
          <w:bCs/>
          <w:sz w:val="28"/>
          <w:szCs w:val="28"/>
        </w:rPr>
      </w:pPr>
      <w:r>
        <w:rPr>
          <w:bCs/>
          <w:sz w:val="28"/>
          <w:szCs w:val="28"/>
        </w:rPr>
        <w:t>Для определения уровня концентрации товарного рынка используются следующие показатели:</w:t>
      </w:r>
    </w:p>
    <w:p w:rsidR="00F71EDD" w:rsidRDefault="00F71EDD" w:rsidP="00F71EDD">
      <w:pPr>
        <w:pStyle w:val="a7"/>
        <w:spacing w:before="0" w:after="0" w:line="300" w:lineRule="auto"/>
        <w:ind w:firstLine="709"/>
        <w:jc w:val="both"/>
        <w:rPr>
          <w:bCs/>
          <w:sz w:val="28"/>
          <w:szCs w:val="28"/>
        </w:rPr>
      </w:pPr>
      <w:r>
        <w:rPr>
          <w:bCs/>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rsidR="00F71EDD" w:rsidRDefault="00F71EDD" w:rsidP="00F71EDD">
      <w:pPr>
        <w:pStyle w:val="a7"/>
        <w:spacing w:before="0" w:after="0" w:line="300" w:lineRule="auto"/>
        <w:ind w:firstLine="709"/>
        <w:jc w:val="both"/>
        <w:rPr>
          <w:bCs/>
          <w:sz w:val="28"/>
          <w:szCs w:val="28"/>
        </w:rPr>
      </w:pPr>
      <w:r>
        <w:rPr>
          <w:bCs/>
          <w:sz w:val="28"/>
          <w:szCs w:val="28"/>
        </w:rPr>
        <w:t>б) индекс рыночной концентрации Герфиндаля-Гиршмана (HHI) - сумма квадратов долей (выраженных в процентах) на товарном рынке всех хозяйствующих субъектов, действующих на данном рынке.</w:t>
      </w:r>
    </w:p>
    <w:p w:rsidR="00F71EDD" w:rsidRDefault="00F71EDD" w:rsidP="00F71EDD">
      <w:pPr>
        <w:pStyle w:val="a7"/>
        <w:spacing w:before="0" w:after="0" w:line="300" w:lineRule="auto"/>
        <w:ind w:firstLine="709"/>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В соответствии с различными значениями коэффициента рыночной концентрации и индекса рыночной концентрации Герфиндаля-Гиршмана выделяются следующие уровни концентрации товарного рынка:</w:t>
      </w:r>
    </w:p>
    <w:p w:rsidR="00F71EDD" w:rsidRDefault="00F71EDD" w:rsidP="00F71EDD">
      <w:pPr>
        <w:pStyle w:val="Textbody"/>
        <w:spacing w:line="300" w:lineRule="auto"/>
        <w:rPr>
          <w:sz w:val="28"/>
          <w:szCs w:val="28"/>
        </w:rPr>
      </w:pPr>
      <w:r>
        <w:rPr>
          <w:sz w:val="28"/>
          <w:szCs w:val="28"/>
        </w:rPr>
        <w:t>- высокий: при 70% &lt;= CR &lt;= 100% или 2000 &lt;= HHI &lt;= 10000</w:t>
      </w:r>
    </w:p>
    <w:p w:rsidR="00F71EDD" w:rsidRDefault="00F71EDD" w:rsidP="00F71EDD">
      <w:pPr>
        <w:pStyle w:val="Textbody"/>
        <w:spacing w:line="300" w:lineRule="auto"/>
        <w:rPr>
          <w:sz w:val="28"/>
          <w:szCs w:val="28"/>
        </w:rPr>
      </w:pPr>
      <w:r>
        <w:rPr>
          <w:sz w:val="28"/>
          <w:szCs w:val="28"/>
        </w:rPr>
        <w:t>- умеренный: при 45% &lt;= CR &lt;= 70% или 1000 &lt;= HHI &lt; 2000</w:t>
      </w:r>
    </w:p>
    <w:p w:rsidR="00F71EDD" w:rsidRDefault="00F71EDD" w:rsidP="00F71EDD">
      <w:pPr>
        <w:pStyle w:val="Textbody"/>
        <w:spacing w:line="300" w:lineRule="auto"/>
        <w:rPr>
          <w:sz w:val="28"/>
          <w:szCs w:val="28"/>
        </w:rPr>
      </w:pPr>
      <w:r>
        <w:rPr>
          <w:bCs/>
          <w:sz w:val="28"/>
          <w:szCs w:val="28"/>
        </w:rPr>
        <w:t>- низкий: при CR &lt; 45% или HHI &lt; 1000.</w:t>
      </w:r>
    </w:p>
    <w:p w:rsidR="00F71EDD" w:rsidRDefault="00F71EDD" w:rsidP="00F71EDD">
      <w:pPr>
        <w:pStyle w:val="Textbody"/>
        <w:spacing w:line="300" w:lineRule="auto"/>
        <w:jc w:val="right"/>
        <w:rPr>
          <w:i/>
          <w:iCs/>
          <w:szCs w:val="24"/>
        </w:rPr>
      </w:pPr>
      <w:r>
        <w:rPr>
          <w:i/>
          <w:iCs/>
          <w:szCs w:val="24"/>
        </w:rPr>
        <w:t>Таблица 4. Расчет уровня концентрации</w:t>
      </w:r>
    </w:p>
    <w:tbl>
      <w:tblPr>
        <w:tblW w:w="14717" w:type="dxa"/>
        <w:jc w:val="center"/>
        <w:tblLayout w:type="fixed"/>
        <w:tblCellMar>
          <w:left w:w="10" w:type="dxa"/>
          <w:right w:w="10" w:type="dxa"/>
        </w:tblCellMar>
        <w:tblLook w:val="0000" w:firstRow="0" w:lastRow="0" w:firstColumn="0" w:lastColumn="0" w:noHBand="0" w:noVBand="0"/>
      </w:tblPr>
      <w:tblGrid>
        <w:gridCol w:w="476"/>
        <w:gridCol w:w="5359"/>
        <w:gridCol w:w="3420"/>
        <w:gridCol w:w="5462"/>
      </w:tblGrid>
      <w:tr w:rsidR="00F71EDD" w:rsidTr="000C380A">
        <w:tblPrEx>
          <w:tblCellMar>
            <w:top w:w="0" w:type="dxa"/>
            <w:bottom w:w="0" w:type="dxa"/>
          </w:tblCellMar>
        </w:tblPrEx>
        <w:trPr>
          <w:tblHeader/>
          <w:jc w:val="center"/>
        </w:trPr>
        <w:tc>
          <w:tcPr>
            <w:tcW w:w="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 xml:space="preserve"> №</w:t>
            </w:r>
          </w:p>
        </w:tc>
        <w:tc>
          <w:tcPr>
            <w:tcW w:w="5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Границы зон деятельности</w:t>
            </w:r>
          </w:p>
        </w:tc>
        <w:tc>
          <w:tcPr>
            <w:tcW w:w="3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Наименование хозяйствующего субъекта, осуществляющего услугу</w:t>
            </w:r>
          </w:p>
        </w:tc>
        <w:tc>
          <w:tcPr>
            <w:tcW w:w="5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Уровень концентрации по каждому муниципальному образованию</w:t>
            </w:r>
          </w:p>
        </w:tc>
      </w:tr>
      <w:tr w:rsidR="00F71EDD" w:rsidTr="000C380A">
        <w:tblPrEx>
          <w:tblCellMar>
            <w:top w:w="0" w:type="dxa"/>
            <w:bottom w:w="0" w:type="dxa"/>
          </w:tblCellMar>
        </w:tblPrEx>
        <w:trPr>
          <w:jc w:val="center"/>
        </w:trPr>
        <w:tc>
          <w:tcPr>
            <w:tcW w:w="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1</w:t>
            </w:r>
          </w:p>
        </w:tc>
        <w:tc>
          <w:tcPr>
            <w:tcW w:w="5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2</w:t>
            </w:r>
          </w:p>
        </w:tc>
        <w:tc>
          <w:tcPr>
            <w:tcW w:w="3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3</w:t>
            </w:r>
          </w:p>
        </w:tc>
        <w:tc>
          <w:tcPr>
            <w:tcW w:w="5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4</w:t>
            </w:r>
          </w:p>
        </w:tc>
      </w:tr>
      <w:tr w:rsidR="00F71EDD" w:rsidTr="000C380A">
        <w:tblPrEx>
          <w:tblCellMar>
            <w:top w:w="0" w:type="dxa"/>
            <w:bottom w:w="0" w:type="dxa"/>
          </w:tblCellMar>
        </w:tblPrEx>
        <w:trPr>
          <w:jc w:val="center"/>
        </w:trPr>
        <w:tc>
          <w:tcPr>
            <w:tcW w:w="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1</w:t>
            </w:r>
          </w:p>
        </w:tc>
        <w:tc>
          <w:tcPr>
            <w:tcW w:w="5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Чукотского автономного округа, за исключение границ зон деятельности других гарантирующих поставщиков</w:t>
            </w:r>
          </w:p>
        </w:tc>
        <w:tc>
          <w:tcPr>
            <w:tcW w:w="3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Акционерное общество «Чукотэнерго»</w:t>
            </w:r>
          </w:p>
        </w:tc>
        <w:tc>
          <w:tcPr>
            <w:tcW w:w="5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bCs/>
                <w:lang w:val="en-US"/>
              </w:rPr>
              <w:t>CR</w:t>
            </w:r>
            <w:r w:rsidRPr="00F71EDD">
              <w:t xml:space="preserve">= 100%, </w:t>
            </w:r>
            <w:r>
              <w:t xml:space="preserve">высокий — при 70% &lt;= </w:t>
            </w:r>
            <w:r>
              <w:rPr>
                <w:bCs/>
                <w:lang w:val="en-US"/>
              </w:rPr>
              <w:t>CR</w:t>
            </w:r>
            <w:r>
              <w:t xml:space="preserve">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2</w:t>
            </w:r>
          </w:p>
        </w:tc>
        <w:tc>
          <w:tcPr>
            <w:tcW w:w="53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сельского поселения Инчоун Чукотского муниципального района</w:t>
            </w:r>
          </w:p>
        </w:tc>
        <w:tc>
          <w:tcPr>
            <w:tcW w:w="34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Standard"/>
              <w:jc w:val="center"/>
              <w:rPr>
                <w:sz w:val="24"/>
                <w:szCs w:val="24"/>
              </w:rPr>
            </w:pPr>
            <w:r>
              <w:rPr>
                <w:sz w:val="24"/>
                <w:szCs w:val="24"/>
              </w:rPr>
              <w:t>Общество с ограниченной ответственностью «Электро-Инчоун»</w:t>
            </w:r>
          </w:p>
        </w:tc>
        <w:tc>
          <w:tcPr>
            <w:tcW w:w="5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bCs/>
                <w:lang w:val="en-US"/>
              </w:rPr>
              <w:t>CR</w:t>
            </w:r>
            <w:r w:rsidRPr="00F71EDD">
              <w:t xml:space="preserve">= 100%, </w:t>
            </w:r>
            <w:r>
              <w:t xml:space="preserve">высокий — при 70% &lt;= </w:t>
            </w:r>
            <w:r>
              <w:rPr>
                <w:bCs/>
                <w:lang w:val="en-US"/>
              </w:rPr>
              <w:t>CR</w:t>
            </w:r>
            <w:r>
              <w:t xml:space="preserve">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lastRenderedPageBreak/>
              <w:t>3</w:t>
            </w:r>
          </w:p>
        </w:tc>
        <w:tc>
          <w:tcPr>
            <w:tcW w:w="535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сельских поселений Анюйск, Илирней, Омолон, Островное Билибинского муниципального района</w:t>
            </w:r>
          </w:p>
        </w:tc>
        <w:tc>
          <w:tcPr>
            <w:tcW w:w="3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предприятие жилищно-коммунального хозяйства Билибинского муницпального района</w:t>
            </w:r>
          </w:p>
        </w:tc>
        <w:tc>
          <w:tcPr>
            <w:tcW w:w="54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lang w:val="en-US"/>
              </w:rPr>
              <w:t>CR</w:t>
            </w:r>
            <w:r w:rsidRPr="00F71EDD">
              <w:t xml:space="preserve">= 100%, </w:t>
            </w:r>
            <w:r>
              <w:t xml:space="preserve">высокий — при 70% &lt;= CR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4</w:t>
            </w:r>
          </w:p>
        </w:tc>
        <w:tc>
          <w:tcPr>
            <w:tcW w:w="535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Анадырского муниципального района, Провиденского муниципального района</w:t>
            </w:r>
          </w:p>
        </w:tc>
        <w:tc>
          <w:tcPr>
            <w:tcW w:w="3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Государственное предприятие Чукотского автономного округа «Чукоткоммунхоз»</w:t>
            </w:r>
          </w:p>
        </w:tc>
        <w:tc>
          <w:tcPr>
            <w:tcW w:w="54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lang w:val="en-US"/>
              </w:rPr>
              <w:t>CR</w:t>
            </w:r>
            <w:r w:rsidRPr="00F71EDD">
              <w:t xml:space="preserve">= 100%, </w:t>
            </w:r>
            <w:r>
              <w:t xml:space="preserve">высокий — при 70% &lt;= CR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5</w:t>
            </w:r>
          </w:p>
        </w:tc>
        <w:tc>
          <w:tcPr>
            <w:tcW w:w="535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сельских поселений Ванкарем, Конергино, Нутэпэльмен, Уэлькаль, Мыс Шмидта, Рыркайпий</w:t>
            </w:r>
          </w:p>
        </w:tc>
        <w:tc>
          <w:tcPr>
            <w:tcW w:w="3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унитарное предприятие жилищно-коммунального хозяйства «Иультинское»</w:t>
            </w:r>
          </w:p>
        </w:tc>
        <w:tc>
          <w:tcPr>
            <w:tcW w:w="54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lang w:val="en-US"/>
              </w:rPr>
              <w:t>CR</w:t>
            </w:r>
            <w:r w:rsidRPr="00F71EDD">
              <w:t xml:space="preserve">= 100%, </w:t>
            </w:r>
            <w:r>
              <w:t xml:space="preserve">высокий — при 70% &lt;= CR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6</w:t>
            </w:r>
          </w:p>
        </w:tc>
        <w:tc>
          <w:tcPr>
            <w:tcW w:w="535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 xml:space="preserve">Зона деятельности соответствует административным границам </w:t>
            </w:r>
            <w:r>
              <w:rPr>
                <w:rFonts w:eastAsia="Arial" w:cs="Arial"/>
              </w:rPr>
              <w:t>сельских поселений Лаврентия, Лорино, Нешкан, Уэлен, Энурмино Чукотского муниципального района</w:t>
            </w:r>
          </w:p>
        </w:tc>
        <w:tc>
          <w:tcPr>
            <w:tcW w:w="3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унитарное предприятие муниципального образования Чукотский муниципальный район «Айсберг»</w:t>
            </w:r>
          </w:p>
        </w:tc>
        <w:tc>
          <w:tcPr>
            <w:tcW w:w="54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lang w:val="en-US"/>
              </w:rPr>
              <w:t>CR</w:t>
            </w:r>
            <w:r w:rsidRPr="00F71EDD">
              <w:t xml:space="preserve">= 100%, </w:t>
            </w:r>
            <w:r>
              <w:t xml:space="preserve">высокий — при 70% &lt;= CR &lt;= 100%;  </w:t>
            </w:r>
            <w:r>
              <w:rPr>
                <w:lang w:val="en-US"/>
              </w:rPr>
              <w:t>HHI</w:t>
            </w:r>
            <w:r w:rsidRPr="00F71EDD">
              <w:t xml:space="preserve">=10000, </w:t>
            </w:r>
            <w:r>
              <w:t>высокий — при 2000 &lt;= HHI &lt;= 10000</w:t>
            </w:r>
          </w:p>
        </w:tc>
      </w:tr>
      <w:tr w:rsidR="00F71EDD" w:rsidTr="000C380A">
        <w:tblPrEx>
          <w:tblCellMar>
            <w:top w:w="0" w:type="dxa"/>
            <w:bottom w:w="0" w:type="dxa"/>
          </w:tblCellMar>
        </w:tblPrEx>
        <w:trPr>
          <w:jc w:val="center"/>
        </w:trPr>
        <w:tc>
          <w:tcPr>
            <w:tcW w:w="47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center"/>
            </w:pPr>
            <w:r>
              <w:t>7</w:t>
            </w:r>
          </w:p>
        </w:tc>
        <w:tc>
          <w:tcPr>
            <w:tcW w:w="535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Зона деятельности соответствует административным границам сельских поселений Рыткучи, Айон, Биллингс Чаунского муниципального района</w:t>
            </w:r>
          </w:p>
        </w:tc>
        <w:tc>
          <w:tcPr>
            <w:tcW w:w="3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jc w:val="center"/>
            </w:pPr>
            <w:r>
              <w:t>Муниципальное предприятие «Чаунское районное коммунальное хозяйство»</w:t>
            </w:r>
          </w:p>
        </w:tc>
        <w:tc>
          <w:tcPr>
            <w:tcW w:w="5462"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71EDD" w:rsidRDefault="00F71EDD" w:rsidP="000C380A">
            <w:pPr>
              <w:pStyle w:val="a7"/>
              <w:spacing w:before="0" w:after="0" w:line="300" w:lineRule="auto"/>
              <w:jc w:val="both"/>
              <w:textAlignment w:val="center"/>
            </w:pPr>
            <w:r>
              <w:rPr>
                <w:lang w:val="en-US"/>
              </w:rPr>
              <w:t>CR</w:t>
            </w:r>
            <w:r w:rsidRPr="00F71EDD">
              <w:t xml:space="preserve">= 100%, </w:t>
            </w:r>
            <w:r>
              <w:t xml:space="preserve">высокий — при 70% &lt;= CR &lt;= 100%;  </w:t>
            </w:r>
            <w:r>
              <w:rPr>
                <w:lang w:val="en-US"/>
              </w:rPr>
              <w:t>HHI</w:t>
            </w:r>
            <w:r w:rsidRPr="00F71EDD">
              <w:t xml:space="preserve">=10000, </w:t>
            </w:r>
            <w:r>
              <w:t>высокий — при 2000 &lt;= HHI &lt;= 10000</w:t>
            </w:r>
          </w:p>
        </w:tc>
      </w:tr>
    </w:tbl>
    <w:p w:rsidR="00F71EDD" w:rsidRDefault="00F71EDD" w:rsidP="00F71EDD">
      <w:pPr>
        <w:pStyle w:val="Textbody"/>
        <w:spacing w:line="300" w:lineRule="auto"/>
        <w:ind w:firstLine="709"/>
        <w:rPr>
          <w:sz w:val="28"/>
          <w:szCs w:val="28"/>
        </w:rPr>
      </w:pPr>
      <w:r>
        <w:rPr>
          <w:sz w:val="28"/>
          <w:szCs w:val="28"/>
        </w:rPr>
        <w:t>Полученные значения индекса рыночной концентрации Герфиндаля-Гиршмана свидетельствуют о том, что в административных границах исследуемого розничного рынка каждого хозяйствующего субъекта, осуществляющий куплю-продажу (поставку) электрической энергии (гарантирующий поставщик) относится к типу рынков с высокой степенью концентрации.</w:t>
      </w:r>
    </w:p>
    <w:p w:rsidR="00F71EDD" w:rsidRDefault="00F71EDD" w:rsidP="00F71EDD">
      <w:pPr>
        <w:pStyle w:val="Textbody"/>
        <w:spacing w:before="113" w:after="113" w:line="300" w:lineRule="auto"/>
        <w:ind w:firstLine="709"/>
        <w:jc w:val="center"/>
        <w:rPr>
          <w:b/>
          <w:bCs/>
          <w:sz w:val="28"/>
          <w:szCs w:val="28"/>
        </w:rPr>
      </w:pPr>
      <w:r>
        <w:rPr>
          <w:b/>
          <w:bCs/>
          <w:sz w:val="28"/>
          <w:szCs w:val="28"/>
        </w:rPr>
        <w:t>Оценка состояния конкурентной среды на рынке</w:t>
      </w:r>
    </w:p>
    <w:p w:rsidR="00F71EDD" w:rsidRDefault="00F71EDD" w:rsidP="00F71EDD">
      <w:pPr>
        <w:pStyle w:val="a7"/>
        <w:numPr>
          <w:ilvl w:val="2"/>
          <w:numId w:val="6"/>
        </w:numPr>
        <w:spacing w:before="0" w:after="0" w:line="300" w:lineRule="auto"/>
        <w:ind w:left="0" w:firstLine="709"/>
        <w:jc w:val="both"/>
        <w:rPr>
          <w:sz w:val="28"/>
          <w:szCs w:val="28"/>
        </w:rPr>
      </w:pPr>
      <w:r>
        <w:rPr>
          <w:sz w:val="28"/>
          <w:szCs w:val="28"/>
        </w:rPr>
        <w:t>Розничный рынок электрической энергии (мощности) на территории  Чукотского автономного округа в исследуемом периоде относится к высококонцентрированному типу с неразвитой конкуренцией;</w:t>
      </w:r>
    </w:p>
    <w:p w:rsidR="00F71EDD" w:rsidRDefault="00F71EDD" w:rsidP="00F71EDD">
      <w:pPr>
        <w:pStyle w:val="a7"/>
        <w:numPr>
          <w:ilvl w:val="2"/>
          <w:numId w:val="6"/>
        </w:numPr>
        <w:spacing w:before="0" w:after="0" w:line="300" w:lineRule="auto"/>
        <w:ind w:left="0" w:firstLine="709"/>
        <w:jc w:val="both"/>
        <w:rPr>
          <w:sz w:val="28"/>
          <w:szCs w:val="28"/>
        </w:rPr>
      </w:pPr>
      <w:r>
        <w:rPr>
          <w:sz w:val="28"/>
          <w:szCs w:val="28"/>
        </w:rPr>
        <w:lastRenderedPageBreak/>
        <w:t>Хозяйствующие субъекты, вышедшие в течение периода регулирования на оптовый рынок не выявлены;</w:t>
      </w:r>
    </w:p>
    <w:p w:rsidR="00F71EDD" w:rsidRDefault="00F71EDD" w:rsidP="00F71EDD">
      <w:pPr>
        <w:pStyle w:val="a7"/>
        <w:numPr>
          <w:ilvl w:val="2"/>
          <w:numId w:val="6"/>
        </w:numPr>
        <w:spacing w:before="0" w:after="0" w:line="300" w:lineRule="auto"/>
        <w:ind w:left="0" w:firstLine="709"/>
        <w:jc w:val="both"/>
        <w:rPr>
          <w:sz w:val="28"/>
          <w:szCs w:val="28"/>
        </w:rPr>
      </w:pPr>
      <w:r>
        <w:rPr>
          <w:sz w:val="28"/>
          <w:szCs w:val="28"/>
        </w:rPr>
        <w:t>Обращений территориального органа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 не имеет;</w:t>
      </w:r>
    </w:p>
    <w:p w:rsidR="00F71EDD" w:rsidRDefault="00F71EDD" w:rsidP="00F71EDD">
      <w:pPr>
        <w:pStyle w:val="a7"/>
        <w:numPr>
          <w:ilvl w:val="2"/>
          <w:numId w:val="6"/>
        </w:numPr>
        <w:spacing w:before="0" w:after="0" w:line="300" w:lineRule="auto"/>
        <w:ind w:left="0" w:firstLine="709"/>
        <w:jc w:val="both"/>
        <w:rPr>
          <w:sz w:val="28"/>
          <w:szCs w:val="28"/>
        </w:rPr>
      </w:pPr>
      <w:r>
        <w:rPr>
          <w:sz w:val="28"/>
          <w:szCs w:val="28"/>
        </w:rPr>
        <w:t>Количество субъектов генерации, участвующие в процессе ценообразования в регионе, у которых заключены соответствующие договоры купли-продажи электрической энергии (мощности) с субъектами розничных рынков электрической энергии (мощности) по прилагаемой форме:</w:t>
      </w:r>
    </w:p>
    <w:p w:rsidR="00F71EDD" w:rsidRDefault="00F71EDD" w:rsidP="00F71EDD">
      <w:pPr>
        <w:pStyle w:val="a7"/>
        <w:spacing w:before="0" w:after="0" w:line="300" w:lineRule="auto"/>
        <w:ind w:firstLine="709"/>
        <w:jc w:val="right"/>
        <w:rPr>
          <w:i/>
          <w:iCs/>
        </w:rPr>
      </w:pPr>
      <w:r>
        <w:rPr>
          <w:i/>
          <w:iCs/>
        </w:rPr>
        <w:t>Таблица № 5. Сведения о субъектах генерации</w:t>
      </w:r>
    </w:p>
    <w:tbl>
      <w:tblPr>
        <w:tblW w:w="14549" w:type="dxa"/>
        <w:tblLayout w:type="fixed"/>
        <w:tblCellMar>
          <w:left w:w="10" w:type="dxa"/>
          <w:right w:w="10" w:type="dxa"/>
        </w:tblCellMar>
        <w:tblLook w:val="0000" w:firstRow="0" w:lastRow="0" w:firstColumn="0" w:lastColumn="0" w:noHBand="0" w:noVBand="0"/>
      </w:tblPr>
      <w:tblGrid>
        <w:gridCol w:w="3570"/>
        <w:gridCol w:w="2100"/>
        <w:gridCol w:w="4170"/>
        <w:gridCol w:w="4709"/>
      </w:tblGrid>
      <w:tr w:rsidR="00F71EDD" w:rsidTr="000C380A">
        <w:tblPrEx>
          <w:tblCellMar>
            <w:top w:w="0" w:type="dxa"/>
            <w:bottom w:w="0" w:type="dxa"/>
          </w:tblCellMar>
        </w:tblPrEx>
        <w:tc>
          <w:tcPr>
            <w:tcW w:w="3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Наименование субъекта генерации</w:t>
            </w:r>
          </w:p>
        </w:tc>
        <w:tc>
          <w:tcPr>
            <w:tcW w:w="21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Объем продажи на розничном рынке, тыс. кВтч.</w:t>
            </w:r>
          </w:p>
        </w:tc>
        <w:tc>
          <w:tcPr>
            <w:tcW w:w="41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Цена, указанная в договоре купли-продажи электрической энергии (мощности), тыс. кВтч.</w:t>
            </w:r>
          </w:p>
        </w:tc>
        <w:tc>
          <w:tcPr>
            <w:tcW w:w="47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Информация о контрагенте (наименование, место нахождение)</w:t>
            </w:r>
          </w:p>
        </w:tc>
      </w:tr>
      <w:tr w:rsidR="00F71EDD" w:rsidTr="000C380A">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ОАО «Чукотэнерго»</w:t>
            </w:r>
          </w:p>
          <w:p w:rsidR="00F71EDD" w:rsidRDefault="00F71EDD" w:rsidP="000C380A">
            <w:pPr>
              <w:pStyle w:val="TableContents"/>
              <w:jc w:val="center"/>
              <w:rPr>
                <w:sz w:val="24"/>
                <w:szCs w:val="24"/>
              </w:rPr>
            </w:pPr>
            <w:r>
              <w:rPr>
                <w:sz w:val="24"/>
                <w:szCs w:val="24"/>
              </w:rPr>
              <w:t xml:space="preserve"> Анадырская ТЭЦ</w:t>
            </w:r>
          </w:p>
          <w:p w:rsidR="00F71EDD" w:rsidRDefault="00F71EDD" w:rsidP="000C380A">
            <w:pPr>
              <w:pStyle w:val="TableContents"/>
              <w:jc w:val="center"/>
              <w:rPr>
                <w:sz w:val="24"/>
                <w:szCs w:val="24"/>
              </w:rPr>
            </w:pPr>
          </w:p>
        </w:tc>
        <w:tc>
          <w:tcPr>
            <w:tcW w:w="210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29598,3</w:t>
            </w:r>
          </w:p>
        </w:tc>
        <w:tc>
          <w:tcPr>
            <w:tcW w:w="41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ГП ЧАО «Чукоткоммунхоз» для поселка Угольные Копи — 276806,4;</w:t>
            </w:r>
          </w:p>
          <w:p w:rsidR="00F71EDD" w:rsidRDefault="00F71EDD" w:rsidP="000C380A">
            <w:pPr>
              <w:pStyle w:val="TableContents"/>
              <w:jc w:val="center"/>
              <w:rPr>
                <w:sz w:val="24"/>
                <w:szCs w:val="24"/>
              </w:rPr>
            </w:pPr>
            <w:r>
              <w:rPr>
                <w:sz w:val="24"/>
                <w:szCs w:val="24"/>
              </w:rPr>
              <w:t>ГП ЧАО «Чукотскоммунхоз» для города Анадырь — 985,9;</w:t>
            </w:r>
          </w:p>
        </w:tc>
        <w:tc>
          <w:tcPr>
            <w:tcW w:w="4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ГП ЧАО «Чукоткоммунхоз» (689000, ЧАО, г. Анадырь, ул. Рультытегина, д. 24);</w:t>
            </w:r>
          </w:p>
          <w:p w:rsidR="00F71EDD" w:rsidRDefault="00F71EDD" w:rsidP="000C380A">
            <w:pPr>
              <w:pStyle w:val="TableContents"/>
              <w:jc w:val="center"/>
              <w:rPr>
                <w:sz w:val="24"/>
                <w:szCs w:val="24"/>
              </w:rPr>
            </w:pPr>
          </w:p>
        </w:tc>
      </w:tr>
      <w:tr w:rsidR="00F71EDD" w:rsidTr="000C380A">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ООО «Северстрой» (689500 Чукотский АО., Анадырский р-н, п. Угольные Копи, ул. Советская, 24)</w:t>
            </w:r>
          </w:p>
        </w:tc>
        <w:tc>
          <w:tcPr>
            <w:tcW w:w="210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500</w:t>
            </w:r>
          </w:p>
        </w:tc>
        <w:tc>
          <w:tcPr>
            <w:tcW w:w="41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65650</w:t>
            </w:r>
          </w:p>
        </w:tc>
        <w:tc>
          <w:tcPr>
            <w:tcW w:w="4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ГП ЧАО «Чукоткоммунхоз» (689000, ЧАО, г. Анадырь, ул. Рультытегина, д. 24);</w:t>
            </w:r>
          </w:p>
        </w:tc>
      </w:tr>
      <w:tr w:rsidR="00F71EDD" w:rsidTr="000C380A">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ООО «СтройИнвест-Энергия» (689000 Чукотский АО., г. Анадырь, ул. Берзиня, 1)</w:t>
            </w:r>
          </w:p>
        </w:tc>
        <w:tc>
          <w:tcPr>
            <w:tcW w:w="210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33,85</w:t>
            </w:r>
          </w:p>
        </w:tc>
        <w:tc>
          <w:tcPr>
            <w:tcW w:w="41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608,5</w:t>
            </w:r>
          </w:p>
        </w:tc>
        <w:tc>
          <w:tcPr>
            <w:tcW w:w="4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ГП ЧАО «Чукоткоммунхоз» (689000, ЧАО, г. Анадырь, ул. Рультытегина, д. 24);</w:t>
            </w:r>
          </w:p>
        </w:tc>
      </w:tr>
      <w:tr w:rsidR="00F71EDD" w:rsidTr="000C380A">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Филиал АО «Концерн Росэнергоатом» «Билибинская атомная станция»</w:t>
            </w:r>
          </w:p>
        </w:tc>
        <w:tc>
          <w:tcPr>
            <w:tcW w:w="210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175354,98</w:t>
            </w:r>
          </w:p>
        </w:tc>
        <w:tc>
          <w:tcPr>
            <w:tcW w:w="4170" w:type="dxa"/>
            <w:tcBorders>
              <w:left w:val="single" w:sz="2" w:space="0" w:color="000000"/>
              <w:bottom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1 полугодие: ставка за электрическую энергию — 1,2515 руб/кВтч; ставка за мощность — 6082075,70 руб/МВт.мес.</w:t>
            </w:r>
          </w:p>
          <w:p w:rsidR="00F71EDD" w:rsidRDefault="00F71EDD" w:rsidP="000C380A">
            <w:pPr>
              <w:pStyle w:val="TableContents"/>
              <w:jc w:val="center"/>
              <w:rPr>
                <w:sz w:val="24"/>
                <w:szCs w:val="24"/>
              </w:rPr>
            </w:pPr>
            <w:r>
              <w:rPr>
                <w:sz w:val="24"/>
                <w:szCs w:val="24"/>
              </w:rPr>
              <w:t>2 полугодие: ставка за электрическую энергию — 1,2524 руб/кВтч; ставка за мощность — 7 383241,20 руб/МВт.мес.</w:t>
            </w:r>
          </w:p>
        </w:tc>
        <w:tc>
          <w:tcPr>
            <w:tcW w:w="470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71EDD" w:rsidRDefault="00F71EDD" w:rsidP="000C380A">
            <w:pPr>
              <w:pStyle w:val="TableContents"/>
              <w:jc w:val="center"/>
              <w:rPr>
                <w:sz w:val="24"/>
                <w:szCs w:val="24"/>
              </w:rPr>
            </w:pPr>
            <w:r>
              <w:rPr>
                <w:sz w:val="24"/>
                <w:szCs w:val="24"/>
              </w:rPr>
              <w:t>ОАО «Чукотэнерго» (689000, ЧАО, г. Анадырь, ул. Рультытегина, д. 35а) (для собственных нужд)</w:t>
            </w:r>
          </w:p>
        </w:tc>
      </w:tr>
    </w:tbl>
    <w:p w:rsidR="00F71EDD" w:rsidRDefault="00F71EDD" w:rsidP="00F71EDD">
      <w:pPr>
        <w:pStyle w:val="Textbody"/>
      </w:pPr>
    </w:p>
    <w:p w:rsidR="00F71EDD" w:rsidRDefault="00F71EDD" w:rsidP="00F71EDD">
      <w:pPr>
        <w:pStyle w:val="a7"/>
        <w:spacing w:before="0" w:after="0" w:line="300" w:lineRule="auto"/>
        <w:jc w:val="both"/>
        <w:rPr>
          <w:sz w:val="28"/>
          <w:szCs w:val="28"/>
        </w:rPr>
      </w:pPr>
    </w:p>
    <w:p w:rsidR="00F71EDD" w:rsidRDefault="00F71EDD" w:rsidP="00F71EDD">
      <w:pPr>
        <w:pStyle w:val="a7"/>
        <w:spacing w:before="0" w:after="0" w:line="300" w:lineRule="auto"/>
        <w:jc w:val="both"/>
        <w:rPr>
          <w:sz w:val="28"/>
          <w:szCs w:val="28"/>
        </w:rPr>
      </w:pPr>
      <w:r>
        <w:rPr>
          <w:sz w:val="28"/>
          <w:szCs w:val="28"/>
        </w:rPr>
        <w:lastRenderedPageBreak/>
        <w:t>Ведущий специалист — эксперт</w:t>
      </w:r>
    </w:p>
    <w:p w:rsidR="00F71EDD" w:rsidRDefault="00F71EDD" w:rsidP="00F71EDD">
      <w:pPr>
        <w:pStyle w:val="a7"/>
        <w:spacing w:before="0" w:after="0"/>
        <w:jc w:val="both"/>
        <w:rPr>
          <w:sz w:val="28"/>
          <w:szCs w:val="28"/>
        </w:rPr>
      </w:pPr>
      <w:r>
        <w:rPr>
          <w:sz w:val="28"/>
          <w:szCs w:val="28"/>
        </w:rPr>
        <w:t>Чукотского УФАС России                                                                                                                                           А.В.Пашиева</w:t>
      </w:r>
    </w:p>
    <w:p w:rsidR="00954DD4" w:rsidRDefault="00954DD4">
      <w:bookmarkStart w:id="0" w:name="_GoBack"/>
      <w:bookmarkEnd w:id="0"/>
    </w:p>
    <w:sectPr w:rsidR="00954DD4">
      <w:headerReference w:type="even" r:id="rId5"/>
      <w:headerReference w:type="default" r:id="rId6"/>
      <w:footerReference w:type="even" r:id="rId7"/>
      <w:footerReference w:type="default" r:id="rId8"/>
      <w:pgSz w:w="16838" w:h="11906" w:orient="landscape"/>
      <w:pgMar w:top="720" w:right="1134" w:bottom="836"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52" w:rsidRDefault="00F71EDD">
    <w:pPr>
      <w:pStyle w:val="a3"/>
      <w:jc w:val="center"/>
    </w:pPr>
    <w:r>
      <w:fldChar w:fldCharType="begin"/>
    </w:r>
    <w:r>
      <w:instrText xml:space="preserve"> PAGE </w:instrText>
    </w:r>
    <w:r>
      <w:fldChar w:fldCharType="separate"/>
    </w:r>
    <w:r>
      <w:rPr>
        <w:noProof/>
      </w:rPr>
      <w:t>4</w:t>
    </w:r>
    <w:r>
      <w:fldChar w:fldCharType="end"/>
    </w:r>
  </w:p>
  <w:p w:rsidR="00B64452" w:rsidRDefault="00F71EDD">
    <w:pPr>
      <w:pStyle w:val="a3"/>
      <w:jc w:val="both"/>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52" w:rsidRDefault="00F71EDD">
    <w:pPr>
      <w:pStyle w:val="a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52" w:rsidRDefault="00F71ED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52" w:rsidRDefault="00F71E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1EB0"/>
    <w:multiLevelType w:val="multilevel"/>
    <w:tmpl w:val="1DE409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93C17BF"/>
    <w:multiLevelType w:val="multilevel"/>
    <w:tmpl w:val="7AA479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0573954"/>
    <w:multiLevelType w:val="multilevel"/>
    <w:tmpl w:val="2236BF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08B7F90"/>
    <w:multiLevelType w:val="multilevel"/>
    <w:tmpl w:val="05E6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CF66E89"/>
    <w:multiLevelType w:val="multilevel"/>
    <w:tmpl w:val="B51C8C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7FDC7D88"/>
    <w:multiLevelType w:val="multilevel"/>
    <w:tmpl w:val="530446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59"/>
    <w:rsid w:val="00954DD4"/>
    <w:rsid w:val="00D86C59"/>
    <w:rsid w:val="00F7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28C2B-FCF9-48DA-A013-50B6EC3B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DD"/>
    <w:pPr>
      <w:widowControl w:val="0"/>
      <w:suppressAutoHyphens/>
      <w:autoSpaceDN w:val="0"/>
      <w:spacing w:after="0" w:line="240" w:lineRule="auto"/>
      <w:textAlignment w:val="baseline"/>
    </w:pPr>
    <w:rPr>
      <w:rFonts w:ascii="Calibri" w:eastAsia="Calibri" w:hAnsi="Calibri" w:cs="Times New Roman"/>
      <w:kern w:val="3"/>
      <w:sz w:val="20"/>
      <w:szCs w:val="20"/>
      <w:lang w:eastAsia="ru-RU"/>
    </w:rPr>
  </w:style>
  <w:style w:type="paragraph" w:styleId="1">
    <w:name w:val="heading 1"/>
    <w:basedOn w:val="Standard"/>
    <w:next w:val="Textbody"/>
    <w:link w:val="10"/>
    <w:rsid w:val="00F71EDD"/>
    <w:pPr>
      <w:spacing w:before="108" w:after="108"/>
      <w:jc w:val="center"/>
      <w:outlineLvl w:val="0"/>
    </w:pPr>
    <w:rPr>
      <w:rFonts w:ascii="Arial" w:hAnsi="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EDD"/>
    <w:rPr>
      <w:rFonts w:ascii="Arial" w:eastAsia="Times New Roman" w:hAnsi="Arial" w:cs="Times New Roman"/>
      <w:b/>
      <w:bCs/>
      <w:color w:val="000080"/>
      <w:kern w:val="3"/>
      <w:lang w:eastAsia="ru-RU"/>
    </w:rPr>
  </w:style>
  <w:style w:type="paragraph" w:customStyle="1" w:styleId="Standard">
    <w:name w:val="Standard"/>
    <w:rsid w:val="00F71EDD"/>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F71EDD"/>
    <w:pPr>
      <w:widowControl/>
      <w:jc w:val="both"/>
    </w:pPr>
    <w:rPr>
      <w:sz w:val="24"/>
    </w:rPr>
  </w:style>
  <w:style w:type="paragraph" w:styleId="a3">
    <w:name w:val="footer"/>
    <w:basedOn w:val="Standard"/>
    <w:link w:val="a4"/>
    <w:rsid w:val="00F71EDD"/>
    <w:pPr>
      <w:suppressLineNumbers/>
      <w:tabs>
        <w:tab w:val="center" w:pos="4677"/>
        <w:tab w:val="right" w:pos="9355"/>
      </w:tabs>
    </w:pPr>
  </w:style>
  <w:style w:type="character" w:customStyle="1" w:styleId="a4">
    <w:name w:val="Нижний колонтитул Знак"/>
    <w:basedOn w:val="a0"/>
    <w:link w:val="a3"/>
    <w:rsid w:val="00F71EDD"/>
    <w:rPr>
      <w:rFonts w:ascii="Times New Roman" w:eastAsia="Times New Roman" w:hAnsi="Times New Roman" w:cs="Times New Roman"/>
      <w:kern w:val="3"/>
      <w:sz w:val="20"/>
      <w:szCs w:val="20"/>
      <w:lang w:eastAsia="ru-RU"/>
    </w:rPr>
  </w:style>
  <w:style w:type="paragraph" w:styleId="a5">
    <w:name w:val="header"/>
    <w:basedOn w:val="Standard"/>
    <w:link w:val="a6"/>
    <w:rsid w:val="00F71EDD"/>
    <w:pPr>
      <w:suppressLineNumbers/>
      <w:tabs>
        <w:tab w:val="center" w:pos="4677"/>
        <w:tab w:val="right" w:pos="9355"/>
      </w:tabs>
    </w:pPr>
  </w:style>
  <w:style w:type="character" w:customStyle="1" w:styleId="a6">
    <w:name w:val="Верхний колонтитул Знак"/>
    <w:basedOn w:val="a0"/>
    <w:link w:val="a5"/>
    <w:rsid w:val="00F71EDD"/>
    <w:rPr>
      <w:rFonts w:ascii="Times New Roman" w:eastAsia="Times New Roman" w:hAnsi="Times New Roman" w:cs="Times New Roman"/>
      <w:kern w:val="3"/>
      <w:sz w:val="20"/>
      <w:szCs w:val="20"/>
      <w:lang w:eastAsia="ru-RU"/>
    </w:rPr>
  </w:style>
  <w:style w:type="paragraph" w:styleId="3">
    <w:name w:val="Body Text Indent 3"/>
    <w:basedOn w:val="Standard"/>
    <w:link w:val="30"/>
    <w:rsid w:val="00F71EDD"/>
    <w:pPr>
      <w:ind w:firstLine="720"/>
      <w:jc w:val="both"/>
    </w:pPr>
    <w:rPr>
      <w:sz w:val="28"/>
    </w:rPr>
  </w:style>
  <w:style w:type="character" w:customStyle="1" w:styleId="30">
    <w:name w:val="Основной текст с отступом 3 Знак"/>
    <w:basedOn w:val="a0"/>
    <w:link w:val="3"/>
    <w:rsid w:val="00F71EDD"/>
    <w:rPr>
      <w:rFonts w:ascii="Times New Roman" w:eastAsia="Times New Roman" w:hAnsi="Times New Roman" w:cs="Times New Roman"/>
      <w:kern w:val="3"/>
      <w:sz w:val="28"/>
      <w:szCs w:val="20"/>
      <w:lang w:eastAsia="ru-RU"/>
    </w:rPr>
  </w:style>
  <w:style w:type="paragraph" w:styleId="a7">
    <w:name w:val="Normal (Web)"/>
    <w:basedOn w:val="Standard"/>
    <w:rsid w:val="00F71EDD"/>
    <w:pPr>
      <w:widowControl/>
      <w:spacing w:before="100" w:after="119"/>
    </w:pPr>
    <w:rPr>
      <w:sz w:val="24"/>
      <w:szCs w:val="24"/>
    </w:rPr>
  </w:style>
  <w:style w:type="paragraph" w:customStyle="1" w:styleId="TableContents">
    <w:name w:val="Table Contents"/>
    <w:basedOn w:val="Standard"/>
    <w:rsid w:val="00F71ED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3056</Words>
  <Characters>17423</Characters>
  <Application>Microsoft Office Word</Application>
  <DocSecurity>0</DocSecurity>
  <Lines>145</Lines>
  <Paragraphs>40</Paragraphs>
  <ScaleCrop>false</ScaleCrop>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Чукотское УФАС России</dc:creator>
  <cp:keywords/>
  <dc:description/>
  <cp:lastModifiedBy>Чукотское УФАС России</cp:lastModifiedBy>
  <cp:revision>2</cp:revision>
  <dcterms:created xsi:type="dcterms:W3CDTF">2017-05-16T13:39:00Z</dcterms:created>
  <dcterms:modified xsi:type="dcterms:W3CDTF">2017-05-16T13:39:00Z</dcterms:modified>
</cp:coreProperties>
</file>